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C858B" w14:textId="29A8ABEE" w:rsidR="00CA068C" w:rsidRPr="00620DFF" w:rsidRDefault="00920E2D" w:rsidP="009F6790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Bijlage </w:t>
      </w:r>
      <w:r w:rsidR="000866EF">
        <w:rPr>
          <w:b/>
          <w:bCs/>
        </w:rPr>
        <w:t xml:space="preserve">bij </w:t>
      </w:r>
      <w:r>
        <w:rPr>
          <w:b/>
          <w:bCs/>
        </w:rPr>
        <w:t>a</w:t>
      </w:r>
      <w:r w:rsidR="00CA068C" w:rsidRPr="00620DFF">
        <w:rPr>
          <w:b/>
          <w:bCs/>
        </w:rPr>
        <w:t>anvraag</w:t>
      </w:r>
      <w:r w:rsidR="000866EF">
        <w:rPr>
          <w:b/>
          <w:bCs/>
        </w:rPr>
        <w:t xml:space="preserve"> </w:t>
      </w:r>
      <w:r w:rsidR="00A424FF">
        <w:rPr>
          <w:b/>
          <w:bCs/>
        </w:rPr>
        <w:t>voor één rapportage waarin alle ORSA rapportages van de groep zijn opgenomen (</w:t>
      </w:r>
      <w:r w:rsidR="00CA068C" w:rsidRPr="00620DFF">
        <w:rPr>
          <w:b/>
          <w:bCs/>
        </w:rPr>
        <w:t>‘</w:t>
      </w:r>
      <w:r w:rsidR="00593D59">
        <w:rPr>
          <w:b/>
          <w:bCs/>
        </w:rPr>
        <w:t xml:space="preserve">single </w:t>
      </w:r>
      <w:r w:rsidR="00A424FF">
        <w:rPr>
          <w:b/>
          <w:bCs/>
        </w:rPr>
        <w:t>ORSA’)</w:t>
      </w:r>
      <w:r w:rsidR="000866EF">
        <w:rPr>
          <w:b/>
          <w:bCs/>
        </w:rPr>
        <w:t xml:space="preserve"> in Digitaal Loket Toezicht (DLT)</w:t>
      </w:r>
    </w:p>
    <w:p w14:paraId="719BDD2A" w14:textId="39D3C22E" w:rsidR="00C96914" w:rsidRDefault="00C96914" w:rsidP="00B27EA4">
      <w:pPr>
        <w:rPr>
          <w:b/>
          <w:bCs/>
        </w:rPr>
      </w:pPr>
    </w:p>
    <w:p w14:paraId="4514D30D" w14:textId="0452EBF5" w:rsidR="0012551F" w:rsidRPr="0012551F" w:rsidRDefault="0012551F" w:rsidP="0012551F">
      <w:pPr>
        <w:rPr>
          <w:bCs/>
        </w:rPr>
      </w:pPr>
      <w:r w:rsidRPr="000E09D2">
        <w:rPr>
          <w:bCs/>
        </w:rPr>
        <w:t xml:space="preserve">Bij </w:t>
      </w:r>
      <w:r>
        <w:rPr>
          <w:bCs/>
        </w:rPr>
        <w:t xml:space="preserve">de aanvraag voegt u ook </w:t>
      </w:r>
      <w:r w:rsidRPr="0012551F">
        <w:rPr>
          <w:bCs/>
        </w:rPr>
        <w:t>een ‘prototype’ van deze groepsrapportage toe, waaruit blijkt:</w:t>
      </w:r>
    </w:p>
    <w:p w14:paraId="4AF16447" w14:textId="7921AE5B" w:rsidR="0012551F" w:rsidRPr="0012551F" w:rsidRDefault="0012551F" w:rsidP="000866EF">
      <w:pPr>
        <w:pStyle w:val="Lijstalinea"/>
        <w:numPr>
          <w:ilvl w:val="0"/>
          <w:numId w:val="7"/>
        </w:numPr>
        <w:rPr>
          <w:bCs/>
        </w:rPr>
      </w:pPr>
      <w:r w:rsidRPr="0012551F">
        <w:rPr>
          <w:bCs/>
        </w:rPr>
        <w:t>welke verzekeringsentiteiten in de voorgestelde opzet zijn betrokken (scope);</w:t>
      </w:r>
    </w:p>
    <w:p w14:paraId="29A0C75E" w14:textId="34701EFB" w:rsidR="0012551F" w:rsidRPr="0012551F" w:rsidRDefault="0012551F" w:rsidP="000866EF">
      <w:pPr>
        <w:pStyle w:val="Lijstalinea"/>
        <w:numPr>
          <w:ilvl w:val="0"/>
          <w:numId w:val="7"/>
        </w:numPr>
        <w:rPr>
          <w:bCs/>
        </w:rPr>
      </w:pPr>
      <w:r w:rsidRPr="0012551F">
        <w:rPr>
          <w:bCs/>
        </w:rPr>
        <w:t>de wijze waarop deze worden verwerkt en zichtbaar zijn in de voorgestelde groepsrapportage;</w:t>
      </w:r>
    </w:p>
    <w:p w14:paraId="180D373E" w14:textId="4EFB1830" w:rsidR="0012551F" w:rsidRPr="000866EF" w:rsidRDefault="0012551F" w:rsidP="000866EF">
      <w:pPr>
        <w:pStyle w:val="Lijstalinea"/>
        <w:numPr>
          <w:ilvl w:val="0"/>
          <w:numId w:val="7"/>
        </w:numPr>
        <w:rPr>
          <w:bCs/>
        </w:rPr>
      </w:pPr>
      <w:r w:rsidRPr="0012551F">
        <w:rPr>
          <w:bCs/>
        </w:rPr>
        <w:t>de onderlinge verhoudingen en afwegingen die in de groepsrapportage worden gemaakt voor entiteit</w:t>
      </w:r>
      <w:r w:rsidRPr="000866EF">
        <w:rPr>
          <w:bCs/>
        </w:rPr>
        <w:t>en die klein zijn in vergelijking met de gehele groep, maar voor sommige toezichthouders/landen toch van belang (kunnen) zijn;</w:t>
      </w:r>
    </w:p>
    <w:p w14:paraId="4E0D140C" w14:textId="35ABBA4E" w:rsidR="0012551F" w:rsidRPr="000866EF" w:rsidRDefault="0012551F" w:rsidP="000866EF">
      <w:pPr>
        <w:pStyle w:val="Lijstalinea"/>
        <w:numPr>
          <w:ilvl w:val="0"/>
          <w:numId w:val="7"/>
        </w:numPr>
        <w:rPr>
          <w:bCs/>
        </w:rPr>
      </w:pPr>
      <w:r w:rsidRPr="000866EF">
        <w:rPr>
          <w:bCs/>
        </w:rPr>
        <w:t>op welke wijze de beleidsbepalers van de verzekeringsentiteiten in de rapportage betrokken zijn bij het ORSA-proces en de vaststelling van de ORSA;</w:t>
      </w:r>
    </w:p>
    <w:p w14:paraId="66C6F7FC" w14:textId="46A6FE4A" w:rsidR="0012551F" w:rsidRPr="000866EF" w:rsidRDefault="0012551F" w:rsidP="000866EF">
      <w:pPr>
        <w:pStyle w:val="Lijstalinea"/>
        <w:numPr>
          <w:ilvl w:val="0"/>
          <w:numId w:val="7"/>
        </w:numPr>
        <w:rPr>
          <w:bCs/>
        </w:rPr>
      </w:pPr>
      <w:r w:rsidRPr="000866EF">
        <w:rPr>
          <w:bCs/>
        </w:rPr>
        <w:t>en (indien van toepassing) de relevante taal en eventueel gewenste vertalingen van de rapportage.</w:t>
      </w:r>
    </w:p>
    <w:p w14:paraId="0BCD3DCC" w14:textId="61FC6091" w:rsidR="0012551F" w:rsidRDefault="0012551F" w:rsidP="0012551F">
      <w:pPr>
        <w:rPr>
          <w:bCs/>
        </w:rPr>
      </w:pPr>
      <w:r w:rsidRPr="0012551F">
        <w:rPr>
          <w:bCs/>
        </w:rPr>
        <w:t>U kunt tevens een eerder door u opgestelde single ORSA gebruiken waarbij u op bovenstaande vragen een aparte toelichting geeft.</w:t>
      </w:r>
    </w:p>
    <w:p w14:paraId="2A11957C" w14:textId="7FA084B8" w:rsidR="000866EF" w:rsidRDefault="000866EF" w:rsidP="0012551F">
      <w:pPr>
        <w:rPr>
          <w:bCs/>
        </w:rPr>
      </w:pPr>
    </w:p>
    <w:p w14:paraId="4C107C68" w14:textId="3A7BC6F2" w:rsidR="000866EF" w:rsidRDefault="000866EF" w:rsidP="0012551F">
      <w:pPr>
        <w:rPr>
          <w:bCs/>
        </w:rPr>
      </w:pPr>
      <w:r>
        <w:rPr>
          <w:bCs/>
        </w:rPr>
        <w:t>Bij de aanvraag voegt u ook toe:</w:t>
      </w:r>
    </w:p>
    <w:p w14:paraId="398C139F" w14:textId="451F7401" w:rsidR="000866EF" w:rsidRDefault="000866EF" w:rsidP="000866EF">
      <w:pPr>
        <w:pStyle w:val="Lijstalinea"/>
        <w:numPr>
          <w:ilvl w:val="0"/>
          <w:numId w:val="8"/>
        </w:numPr>
        <w:rPr>
          <w:bCs/>
        </w:rPr>
      </w:pPr>
      <w:r>
        <w:rPr>
          <w:bCs/>
        </w:rPr>
        <w:t>een begeleidende brief;</w:t>
      </w:r>
    </w:p>
    <w:p w14:paraId="5242555E" w14:textId="77777777" w:rsidR="003D68C7" w:rsidRDefault="000866EF" w:rsidP="000866EF">
      <w:pPr>
        <w:pStyle w:val="Lijstalinea"/>
        <w:numPr>
          <w:ilvl w:val="0"/>
          <w:numId w:val="8"/>
        </w:numPr>
        <w:rPr>
          <w:bCs/>
        </w:rPr>
      </w:pPr>
      <w:r>
        <w:rPr>
          <w:bCs/>
        </w:rPr>
        <w:t>alle noodzakelijke documenten ter onderbouwing van de aanvraag</w:t>
      </w:r>
      <w:r w:rsidR="003D68C7">
        <w:rPr>
          <w:bCs/>
        </w:rPr>
        <w:t xml:space="preserve">; </w:t>
      </w:r>
    </w:p>
    <w:p w14:paraId="62B232D0" w14:textId="6280DBB7" w:rsidR="000866EF" w:rsidRDefault="003D68C7" w:rsidP="003D68C7">
      <w:pPr>
        <w:pStyle w:val="Lijstalinea"/>
        <w:numPr>
          <w:ilvl w:val="0"/>
          <w:numId w:val="8"/>
        </w:numPr>
        <w:rPr>
          <w:bCs/>
        </w:rPr>
      </w:pPr>
      <w:r>
        <w:rPr>
          <w:bCs/>
        </w:rPr>
        <w:t>een document ter onderbouwing dat de aanvraag is</w:t>
      </w:r>
      <w:r w:rsidR="00C56791" w:rsidRPr="00C56791">
        <w:t xml:space="preserve"> </w:t>
      </w:r>
      <w:r w:rsidR="00C56791" w:rsidRPr="00C56791">
        <w:rPr>
          <w:bCs/>
        </w:rPr>
        <w:t>goedgekeurd door het dagelijks bestuur.</w:t>
      </w:r>
      <w:r>
        <w:rPr>
          <w:bCs/>
        </w:rPr>
        <w:t xml:space="preserve"> </w:t>
      </w:r>
    </w:p>
    <w:p w14:paraId="4E5D017A" w14:textId="15154D9A" w:rsidR="000866EF" w:rsidRPr="000866EF" w:rsidRDefault="000866EF" w:rsidP="000866EF">
      <w:pPr>
        <w:rPr>
          <w:bCs/>
        </w:rPr>
      </w:pPr>
    </w:p>
    <w:p w14:paraId="038092E4" w14:textId="77777777" w:rsidR="006A107F" w:rsidRPr="00593D59" w:rsidRDefault="006A107F" w:rsidP="006A107F">
      <w:pPr>
        <w:pStyle w:val="Lijstalinea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0"/>
      </w:tblGrid>
      <w:tr w:rsidR="001F61F1" w:rsidRPr="00C96914" w14:paraId="62B57617" w14:textId="77777777" w:rsidTr="00677C3D">
        <w:trPr>
          <w:trHeight w:val="266"/>
        </w:trPr>
        <w:tc>
          <w:tcPr>
            <w:tcW w:w="534" w:type="dxa"/>
          </w:tcPr>
          <w:p w14:paraId="547020CC" w14:textId="1C1BAB6E" w:rsidR="001F61F1" w:rsidRPr="001F61F1" w:rsidRDefault="0012551F" w:rsidP="00C96914">
            <w:r>
              <w:t>1</w:t>
            </w:r>
            <w:r w:rsidR="001F61F1">
              <w:t>.</w:t>
            </w:r>
          </w:p>
        </w:tc>
        <w:tc>
          <w:tcPr>
            <w:tcW w:w="8930" w:type="dxa"/>
          </w:tcPr>
          <w:p w14:paraId="6CA7214D" w14:textId="6C8C5733" w:rsidR="001F61F1" w:rsidRDefault="00BC77DD" w:rsidP="00BC77DD">
            <w:r>
              <w:t>Beoogde st</w:t>
            </w:r>
            <w:r w:rsidR="001F61F1">
              <w:t xml:space="preserve">artdatum </w:t>
            </w:r>
            <w:r>
              <w:t xml:space="preserve">van </w:t>
            </w:r>
            <w:r w:rsidR="0012551F">
              <w:t>het gebruik van de single ORSA</w:t>
            </w:r>
            <w:r w:rsidR="001F61F1">
              <w:t xml:space="preserve">. </w:t>
            </w:r>
          </w:p>
        </w:tc>
      </w:tr>
      <w:tr w:rsidR="001F61F1" w:rsidRPr="00C96914" w14:paraId="67D2665D" w14:textId="77777777" w:rsidTr="00677C3D">
        <w:trPr>
          <w:trHeight w:val="266"/>
        </w:trPr>
        <w:tc>
          <w:tcPr>
            <w:tcW w:w="534" w:type="dxa"/>
          </w:tcPr>
          <w:p w14:paraId="66803894" w14:textId="77777777" w:rsidR="001F61F1" w:rsidRPr="001F61F1" w:rsidRDefault="001F61F1" w:rsidP="00C96914"/>
        </w:tc>
        <w:tc>
          <w:tcPr>
            <w:tcW w:w="8930" w:type="dxa"/>
          </w:tcPr>
          <w:p w14:paraId="60077901" w14:textId="77777777" w:rsidR="001F61F1" w:rsidRDefault="001F61F1" w:rsidP="001F61F1"/>
          <w:p w14:paraId="19BA0324" w14:textId="77777777" w:rsidR="001F61F1" w:rsidRDefault="001F61F1" w:rsidP="001F61F1"/>
          <w:p w14:paraId="10174583" w14:textId="77777777" w:rsidR="001F61F1" w:rsidRDefault="001F61F1" w:rsidP="001F61F1"/>
        </w:tc>
      </w:tr>
      <w:tr w:rsidR="0012551F" w:rsidRPr="00C96914" w14:paraId="6EB806AD" w14:textId="77777777" w:rsidTr="00677C3D">
        <w:trPr>
          <w:trHeight w:val="266"/>
        </w:trPr>
        <w:tc>
          <w:tcPr>
            <w:tcW w:w="534" w:type="dxa"/>
          </w:tcPr>
          <w:p w14:paraId="643B4E81" w14:textId="5EFA61FB" w:rsidR="0012551F" w:rsidRPr="001F61F1" w:rsidRDefault="0012551F" w:rsidP="00C96914">
            <w:r>
              <w:t>2.</w:t>
            </w:r>
          </w:p>
        </w:tc>
        <w:tc>
          <w:tcPr>
            <w:tcW w:w="8930" w:type="dxa"/>
          </w:tcPr>
          <w:p w14:paraId="523FA55F" w14:textId="6D625033" w:rsidR="0012551F" w:rsidRDefault="0012551F" w:rsidP="001F61F1">
            <w:r>
              <w:t>Toelichting van de wijze waarop de betrokken verzekeringsentiteiten worden verwerkt en zichtbaar zijn in de voorgestelde groepsrapportage</w:t>
            </w:r>
          </w:p>
        </w:tc>
      </w:tr>
      <w:tr w:rsidR="0012551F" w:rsidRPr="00C96914" w14:paraId="4CD526D5" w14:textId="77777777" w:rsidTr="000866EF">
        <w:trPr>
          <w:trHeight w:val="671"/>
        </w:trPr>
        <w:tc>
          <w:tcPr>
            <w:tcW w:w="534" w:type="dxa"/>
          </w:tcPr>
          <w:p w14:paraId="25DFD719" w14:textId="77777777" w:rsidR="0012551F" w:rsidRPr="001F61F1" w:rsidRDefault="0012551F" w:rsidP="00C96914"/>
        </w:tc>
        <w:tc>
          <w:tcPr>
            <w:tcW w:w="8930" w:type="dxa"/>
          </w:tcPr>
          <w:p w14:paraId="174BAA68" w14:textId="77777777" w:rsidR="0012551F" w:rsidRDefault="0012551F" w:rsidP="001F61F1"/>
        </w:tc>
      </w:tr>
      <w:tr w:rsidR="0012551F" w:rsidRPr="00C96914" w14:paraId="2D7F2725" w14:textId="77777777" w:rsidTr="00677C3D">
        <w:trPr>
          <w:trHeight w:val="266"/>
        </w:trPr>
        <w:tc>
          <w:tcPr>
            <w:tcW w:w="534" w:type="dxa"/>
          </w:tcPr>
          <w:p w14:paraId="32F9968C" w14:textId="250600BC" w:rsidR="0012551F" w:rsidRPr="001F61F1" w:rsidRDefault="0012551F" w:rsidP="00C96914">
            <w:r>
              <w:t>3.</w:t>
            </w:r>
          </w:p>
        </w:tc>
        <w:tc>
          <w:tcPr>
            <w:tcW w:w="8930" w:type="dxa"/>
          </w:tcPr>
          <w:p w14:paraId="2C11448A" w14:textId="2D8EB060" w:rsidR="0012551F" w:rsidRDefault="0012551F" w:rsidP="001F61F1">
            <w:r>
              <w:t>T</w:t>
            </w:r>
            <w:r w:rsidRPr="0012551F">
              <w:t>oelichting op de onderlinge verhoudingen en afwegingen die in de groepsrapportage worden gemaakt voor entiteiten die klein zijn vergeleken binnen de gehele groep, maar voor sommige toezichthouders/landen toch van belang (kunnen) zijn.</w:t>
            </w:r>
          </w:p>
        </w:tc>
      </w:tr>
      <w:tr w:rsidR="0012551F" w:rsidRPr="00C96914" w14:paraId="3E666D71" w14:textId="77777777" w:rsidTr="000866EF">
        <w:trPr>
          <w:trHeight w:val="718"/>
        </w:trPr>
        <w:tc>
          <w:tcPr>
            <w:tcW w:w="534" w:type="dxa"/>
          </w:tcPr>
          <w:p w14:paraId="07EB03B1" w14:textId="77777777" w:rsidR="0012551F" w:rsidRPr="001F61F1" w:rsidRDefault="0012551F" w:rsidP="00C96914"/>
        </w:tc>
        <w:tc>
          <w:tcPr>
            <w:tcW w:w="8930" w:type="dxa"/>
          </w:tcPr>
          <w:p w14:paraId="5DF94204" w14:textId="77777777" w:rsidR="0012551F" w:rsidRDefault="0012551F" w:rsidP="001F61F1"/>
        </w:tc>
      </w:tr>
      <w:tr w:rsidR="0012551F" w:rsidRPr="00C96914" w14:paraId="5068A9A3" w14:textId="77777777" w:rsidTr="00677C3D">
        <w:trPr>
          <w:trHeight w:val="266"/>
        </w:trPr>
        <w:tc>
          <w:tcPr>
            <w:tcW w:w="534" w:type="dxa"/>
          </w:tcPr>
          <w:p w14:paraId="47FCB53C" w14:textId="6ED96509" w:rsidR="0012551F" w:rsidRPr="001F61F1" w:rsidRDefault="0012551F" w:rsidP="00C96914">
            <w:r>
              <w:t>4.</w:t>
            </w:r>
          </w:p>
        </w:tc>
        <w:tc>
          <w:tcPr>
            <w:tcW w:w="8930" w:type="dxa"/>
          </w:tcPr>
          <w:p w14:paraId="44C18DC5" w14:textId="1A4B65B4" w:rsidR="0012551F" w:rsidRDefault="0012551F" w:rsidP="001F61F1">
            <w:r>
              <w:t>T</w:t>
            </w:r>
            <w:r w:rsidRPr="0012551F">
              <w:t>oelichting op de invulling van de wijze waarop de beleidsbepalers van de verzekeringsentiteiten in de rapportage betrokken worden bij het proces en de uitkomsten in de rapportage.</w:t>
            </w:r>
          </w:p>
        </w:tc>
      </w:tr>
      <w:tr w:rsidR="0012551F" w:rsidRPr="00C96914" w14:paraId="3D65F4C1" w14:textId="77777777" w:rsidTr="00677C3D">
        <w:trPr>
          <w:trHeight w:val="266"/>
        </w:trPr>
        <w:tc>
          <w:tcPr>
            <w:tcW w:w="534" w:type="dxa"/>
          </w:tcPr>
          <w:p w14:paraId="5001B965" w14:textId="77777777" w:rsidR="0012551F" w:rsidRPr="001F61F1" w:rsidRDefault="0012551F" w:rsidP="00C96914"/>
        </w:tc>
        <w:tc>
          <w:tcPr>
            <w:tcW w:w="8930" w:type="dxa"/>
          </w:tcPr>
          <w:p w14:paraId="4D51B027" w14:textId="77777777" w:rsidR="0012551F" w:rsidRDefault="0012551F" w:rsidP="001F61F1"/>
          <w:p w14:paraId="6D324AA1" w14:textId="69E690E6" w:rsidR="00C56791" w:rsidRDefault="00C56791" w:rsidP="001F61F1"/>
        </w:tc>
      </w:tr>
      <w:tr w:rsidR="00C56791" w:rsidRPr="0075699E" w:rsidDel="0012551F" w14:paraId="2639B4A2" w14:textId="77777777" w:rsidTr="002307EA">
        <w:trPr>
          <w:trHeight w:val="438"/>
        </w:trPr>
        <w:tc>
          <w:tcPr>
            <w:tcW w:w="534" w:type="dxa"/>
          </w:tcPr>
          <w:p w14:paraId="2C3A99CF" w14:textId="05079D52" w:rsidR="00C56791" w:rsidRPr="000866EF" w:rsidDel="0012551F" w:rsidRDefault="00C56791" w:rsidP="001F61F1">
            <w:r>
              <w:t xml:space="preserve">5. </w:t>
            </w:r>
          </w:p>
        </w:tc>
        <w:tc>
          <w:tcPr>
            <w:tcW w:w="8930" w:type="dxa"/>
          </w:tcPr>
          <w:p w14:paraId="20743C4A" w14:textId="60110EE5" w:rsidR="00C56791" w:rsidRPr="000866EF" w:rsidDel="0012551F" w:rsidRDefault="00C56791" w:rsidP="00C56791">
            <w:r>
              <w:t>Indien van toepassing: toelichting hoe u wilt omgaan met taal en eventuele gewenste vertalingen van de rapportage.</w:t>
            </w:r>
          </w:p>
        </w:tc>
      </w:tr>
      <w:tr w:rsidR="00C56791" w:rsidRPr="0075699E" w:rsidDel="0012551F" w14:paraId="375D1526" w14:textId="77777777" w:rsidTr="00190DD6">
        <w:trPr>
          <w:trHeight w:val="438"/>
        </w:trPr>
        <w:tc>
          <w:tcPr>
            <w:tcW w:w="534" w:type="dxa"/>
          </w:tcPr>
          <w:p w14:paraId="5350C175" w14:textId="77777777" w:rsidR="00C56791" w:rsidRPr="000866EF" w:rsidDel="0012551F" w:rsidRDefault="00C56791" w:rsidP="001F61F1"/>
        </w:tc>
        <w:tc>
          <w:tcPr>
            <w:tcW w:w="8930" w:type="dxa"/>
          </w:tcPr>
          <w:p w14:paraId="01A523DA" w14:textId="77777777" w:rsidR="00C56791" w:rsidRPr="000866EF" w:rsidDel="0012551F" w:rsidRDefault="00C56791" w:rsidP="00C56791"/>
        </w:tc>
      </w:tr>
    </w:tbl>
    <w:p w14:paraId="6D75CB62" w14:textId="77777777" w:rsidR="00C96914" w:rsidRPr="008A298D" w:rsidRDefault="00C96914" w:rsidP="00C96914">
      <w:r w:rsidRPr="008A298D">
        <w:t xml:space="preserve"> </w:t>
      </w:r>
    </w:p>
    <w:sectPr w:rsidR="00C96914" w:rsidRPr="008A298D" w:rsidSect="00777F98">
      <w:pgSz w:w="11906" w:h="16838"/>
      <w:pgMar w:top="3090" w:right="3175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ABCF3" w14:textId="77777777" w:rsidR="00D42341" w:rsidRDefault="00D42341" w:rsidP="000A2A03">
      <w:pPr>
        <w:spacing w:line="240" w:lineRule="auto"/>
      </w:pPr>
      <w:r>
        <w:separator/>
      </w:r>
    </w:p>
  </w:endnote>
  <w:endnote w:type="continuationSeparator" w:id="0">
    <w:p w14:paraId="0B2F63C3" w14:textId="77777777" w:rsidR="00D42341" w:rsidRDefault="00D42341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4A739" w14:textId="77777777" w:rsidR="00D42341" w:rsidRDefault="00D42341" w:rsidP="000A2A03">
      <w:pPr>
        <w:spacing w:line="240" w:lineRule="auto"/>
      </w:pPr>
      <w:r>
        <w:separator/>
      </w:r>
    </w:p>
  </w:footnote>
  <w:footnote w:type="continuationSeparator" w:id="0">
    <w:p w14:paraId="6FE0110B" w14:textId="77777777" w:rsidR="00D42341" w:rsidRDefault="00D42341" w:rsidP="000A2A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081"/>
    <w:multiLevelType w:val="hybridMultilevel"/>
    <w:tmpl w:val="A7226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7B08"/>
    <w:multiLevelType w:val="hybridMultilevel"/>
    <w:tmpl w:val="EC587162"/>
    <w:lvl w:ilvl="0" w:tplc="0AC80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58E7F4E"/>
    <w:multiLevelType w:val="hybridMultilevel"/>
    <w:tmpl w:val="5FC46620"/>
    <w:lvl w:ilvl="0" w:tplc="0AC8088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DD82E57"/>
    <w:multiLevelType w:val="hybridMultilevel"/>
    <w:tmpl w:val="EAEE39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70B4C"/>
    <w:multiLevelType w:val="hybridMultilevel"/>
    <w:tmpl w:val="140E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14433"/>
    <w:multiLevelType w:val="hybridMultilevel"/>
    <w:tmpl w:val="4F805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14"/>
    <w:rsid w:val="000866EF"/>
    <w:rsid w:val="0009088E"/>
    <w:rsid w:val="000A2A03"/>
    <w:rsid w:val="000D36F9"/>
    <w:rsid w:val="000E1A93"/>
    <w:rsid w:val="000E543C"/>
    <w:rsid w:val="00102AE8"/>
    <w:rsid w:val="0012551F"/>
    <w:rsid w:val="001B6FB1"/>
    <w:rsid w:val="001C523B"/>
    <w:rsid w:val="001E0069"/>
    <w:rsid w:val="001F61F1"/>
    <w:rsid w:val="0021744E"/>
    <w:rsid w:val="00267B7E"/>
    <w:rsid w:val="00275848"/>
    <w:rsid w:val="00276CD5"/>
    <w:rsid w:val="00282E10"/>
    <w:rsid w:val="0028552B"/>
    <w:rsid w:val="002D0B13"/>
    <w:rsid w:val="00324941"/>
    <w:rsid w:val="003252FB"/>
    <w:rsid w:val="00392C7B"/>
    <w:rsid w:val="003D68C7"/>
    <w:rsid w:val="003F3F59"/>
    <w:rsid w:val="003F6E85"/>
    <w:rsid w:val="004077A5"/>
    <w:rsid w:val="0041252D"/>
    <w:rsid w:val="00431167"/>
    <w:rsid w:val="00453D32"/>
    <w:rsid w:val="00490378"/>
    <w:rsid w:val="004938B7"/>
    <w:rsid w:val="004E4835"/>
    <w:rsid w:val="004F519D"/>
    <w:rsid w:val="004F785D"/>
    <w:rsid w:val="00501C78"/>
    <w:rsid w:val="0051444B"/>
    <w:rsid w:val="00535054"/>
    <w:rsid w:val="0053667C"/>
    <w:rsid w:val="0055020B"/>
    <w:rsid w:val="00556BF1"/>
    <w:rsid w:val="00593D59"/>
    <w:rsid w:val="005A4644"/>
    <w:rsid w:val="005A4BFC"/>
    <w:rsid w:val="005E6E58"/>
    <w:rsid w:val="005F1C4F"/>
    <w:rsid w:val="0061146C"/>
    <w:rsid w:val="00620DFF"/>
    <w:rsid w:val="00624786"/>
    <w:rsid w:val="00625831"/>
    <w:rsid w:val="006267FC"/>
    <w:rsid w:val="00677C3D"/>
    <w:rsid w:val="0069271E"/>
    <w:rsid w:val="006A107F"/>
    <w:rsid w:val="006C1606"/>
    <w:rsid w:val="006E03D2"/>
    <w:rsid w:val="007513D3"/>
    <w:rsid w:val="0075699E"/>
    <w:rsid w:val="00777F98"/>
    <w:rsid w:val="007B659D"/>
    <w:rsid w:val="008A298D"/>
    <w:rsid w:val="00914169"/>
    <w:rsid w:val="009147BF"/>
    <w:rsid w:val="00920E2D"/>
    <w:rsid w:val="009904AE"/>
    <w:rsid w:val="009B5D9A"/>
    <w:rsid w:val="009E3D1F"/>
    <w:rsid w:val="009F6790"/>
    <w:rsid w:val="00A14848"/>
    <w:rsid w:val="00A366EF"/>
    <w:rsid w:val="00A424FF"/>
    <w:rsid w:val="00A43539"/>
    <w:rsid w:val="00A50664"/>
    <w:rsid w:val="00A72B58"/>
    <w:rsid w:val="00AC143E"/>
    <w:rsid w:val="00AC56DC"/>
    <w:rsid w:val="00AE4836"/>
    <w:rsid w:val="00B224FD"/>
    <w:rsid w:val="00B26AB8"/>
    <w:rsid w:val="00B27EA4"/>
    <w:rsid w:val="00BC77DD"/>
    <w:rsid w:val="00BC7F5D"/>
    <w:rsid w:val="00BD7BD4"/>
    <w:rsid w:val="00BE4670"/>
    <w:rsid w:val="00BF6555"/>
    <w:rsid w:val="00C071BA"/>
    <w:rsid w:val="00C31C05"/>
    <w:rsid w:val="00C403F4"/>
    <w:rsid w:val="00C56791"/>
    <w:rsid w:val="00C82654"/>
    <w:rsid w:val="00C93A75"/>
    <w:rsid w:val="00C96914"/>
    <w:rsid w:val="00CA068C"/>
    <w:rsid w:val="00CA45F8"/>
    <w:rsid w:val="00D22E75"/>
    <w:rsid w:val="00D27A58"/>
    <w:rsid w:val="00D42341"/>
    <w:rsid w:val="00D9467A"/>
    <w:rsid w:val="00DD6D5A"/>
    <w:rsid w:val="00DF6178"/>
    <w:rsid w:val="00E05E36"/>
    <w:rsid w:val="00E26A98"/>
    <w:rsid w:val="00E32A13"/>
    <w:rsid w:val="00E622DD"/>
    <w:rsid w:val="00E7266F"/>
    <w:rsid w:val="00E76844"/>
    <w:rsid w:val="00E81517"/>
    <w:rsid w:val="00ED1905"/>
    <w:rsid w:val="00EE238F"/>
    <w:rsid w:val="00F17945"/>
    <w:rsid w:val="00F32B5B"/>
    <w:rsid w:val="00F551AC"/>
    <w:rsid w:val="00F6785E"/>
    <w:rsid w:val="00F90D70"/>
    <w:rsid w:val="00F91315"/>
    <w:rsid w:val="00F94D91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5F51E3"/>
  <w15:docId w15:val="{456FC373-E300-4490-8E69-8F6D4A3F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43539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semiHidden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9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55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2551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2551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55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5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32720C0945242B55285003E68FD9E" ma:contentTypeVersion="0" ma:contentTypeDescription="Create a new document." ma:contentTypeScope="" ma:versionID="e319dc65b595a996262fe873b65bce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517fe948390ee86073c44890d31c3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E25A-8796-478E-85F9-D49ECB79D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4C2A5-3C8A-432F-9AD3-6DCF9788AF8B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98F4E37-7D9B-4D23-8328-9385750A25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DD907-96AD-4D04-8085-D8535248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1702</Characters>
  <Application>Microsoft Office Word</Application>
  <DocSecurity>0</DocSecurity>
  <Lines>58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Pijnenburg, L.G.P.J.</dc:creator>
  <cp:lastModifiedBy>Bekker, D.C.S.</cp:lastModifiedBy>
  <cp:revision>2</cp:revision>
  <dcterms:created xsi:type="dcterms:W3CDTF">2021-09-09T15:30:00Z</dcterms:created>
  <dcterms:modified xsi:type="dcterms:W3CDTF">2021-09-09T15:30:00Z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0x01010077032720C0945242B55285003E68FD9E</vt:lpwstr>
  </property>
</Properties>
</file>