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0F6A8" w14:textId="23EB9E8A" w:rsidR="009E345A" w:rsidRPr="00B815FC" w:rsidRDefault="009E345A" w:rsidP="009E345A">
      <w:pPr>
        <w:rPr>
          <w:b/>
          <w:sz w:val="28"/>
          <w:szCs w:val="28"/>
          <w:lang w:val="en-US"/>
        </w:rPr>
      </w:pPr>
      <w:r w:rsidRPr="00B815FC">
        <w:rPr>
          <w:b/>
          <w:sz w:val="28"/>
          <w:szCs w:val="28"/>
          <w:lang w:val="en-US"/>
        </w:rPr>
        <w:t>Explanatory notes changes BSI-ta</w:t>
      </w:r>
      <w:r>
        <w:rPr>
          <w:b/>
          <w:sz w:val="28"/>
          <w:szCs w:val="28"/>
          <w:lang w:val="en-US"/>
        </w:rPr>
        <w:t>xonomy version 2</w:t>
      </w:r>
      <w:r w:rsidRPr="00B815FC">
        <w:rPr>
          <w:b/>
          <w:sz w:val="28"/>
          <w:szCs w:val="28"/>
          <w:lang w:val="en-US"/>
        </w:rPr>
        <w:t>.0.</w:t>
      </w:r>
      <w:r w:rsidR="0011117C">
        <w:rPr>
          <w:b/>
          <w:sz w:val="28"/>
          <w:szCs w:val="28"/>
          <w:lang w:val="en-US"/>
        </w:rPr>
        <w:t>2</w:t>
      </w:r>
      <w:r>
        <w:rPr>
          <w:b/>
          <w:sz w:val="28"/>
          <w:szCs w:val="28"/>
          <w:lang w:val="en-US"/>
        </w:rPr>
        <w:t xml:space="preserve"> (reporting from 2022)</w:t>
      </w:r>
    </w:p>
    <w:p w14:paraId="02D336DE" w14:textId="77777777" w:rsidR="009E345A" w:rsidRPr="00B815FC" w:rsidRDefault="009E345A" w:rsidP="009E345A">
      <w:pPr>
        <w:rPr>
          <w:b/>
          <w:sz w:val="28"/>
          <w:szCs w:val="28"/>
          <w:lang w:val="en-US"/>
        </w:rPr>
      </w:pPr>
    </w:p>
    <w:p w14:paraId="7BECA016" w14:textId="0D557690" w:rsidR="009E345A" w:rsidRPr="0011117C" w:rsidRDefault="009E345A" w:rsidP="009E345A">
      <w:pPr>
        <w:rPr>
          <w:color w:val="000000" w:themeColor="text1"/>
          <w:lang w:val="en-US"/>
        </w:rPr>
      </w:pPr>
      <w:r>
        <w:rPr>
          <w:lang w:val="en-US"/>
        </w:rPr>
        <w:t>In line with the updated BSI regulation, the BSI taxonomy has been updated to version 2.0.</w:t>
      </w:r>
      <w:r w:rsidR="0011117C">
        <w:rPr>
          <w:lang w:val="en-US"/>
        </w:rPr>
        <w:t>2</w:t>
      </w:r>
      <w:r>
        <w:rPr>
          <w:lang w:val="en-US"/>
        </w:rPr>
        <w:t>. This document combined with the Excel file ‘Changes BSI taxonomy version 2.0.</w:t>
      </w:r>
      <w:r w:rsidR="0011117C">
        <w:rPr>
          <w:lang w:val="en-US"/>
        </w:rPr>
        <w:t>2</w:t>
      </w:r>
      <w:r>
        <w:rPr>
          <w:lang w:val="en-US"/>
        </w:rPr>
        <w:t xml:space="preserve"> (further</w:t>
      </w:r>
      <w:r w:rsidRPr="006776B4">
        <w:rPr>
          <w:lang w:val="en-US"/>
        </w:rPr>
        <w:t xml:space="preserve"> explanation on Excel tab </w:t>
      </w:r>
      <w:r>
        <w:rPr>
          <w:lang w:val="en-US"/>
        </w:rPr>
        <w:t xml:space="preserve">‘Readme’) indicate the definitive changes. </w:t>
      </w:r>
      <w:r w:rsidR="002C1265" w:rsidRPr="0099325F">
        <w:rPr>
          <w:color w:val="0D0D0D" w:themeColor="text1" w:themeTint="F2"/>
          <w:lang w:val="en-US"/>
        </w:rPr>
        <w:t xml:space="preserve">This document contains changes from 1.0.2 (old taxonomy) to version 2.0.0 </w:t>
      </w:r>
      <w:r w:rsidR="002C1265" w:rsidRPr="0099325F">
        <w:rPr>
          <w:color w:val="FF0000"/>
          <w:lang w:val="en-US"/>
        </w:rPr>
        <w:t>and</w:t>
      </w:r>
      <w:r w:rsidR="002C1265" w:rsidRPr="0099325F">
        <w:rPr>
          <w:color w:val="0D0D0D" w:themeColor="text1" w:themeTint="F2"/>
          <w:lang w:val="en-US"/>
        </w:rPr>
        <w:t xml:space="preserve"> </w:t>
      </w:r>
      <w:r w:rsidR="002C1265">
        <w:rPr>
          <w:color w:val="FF0000"/>
          <w:lang w:val="en-US"/>
        </w:rPr>
        <w:t>changes from 2.0.0 to 2.0.</w:t>
      </w:r>
      <w:r w:rsidR="0011117C">
        <w:rPr>
          <w:color w:val="FF0000"/>
          <w:lang w:val="en-US"/>
        </w:rPr>
        <w:t xml:space="preserve">1. </w:t>
      </w:r>
      <w:r w:rsidR="00F9793D">
        <w:rPr>
          <w:color w:val="000000" w:themeColor="text1"/>
          <w:lang w:val="en-US"/>
        </w:rPr>
        <w:t>Version 2.0.2</w:t>
      </w:r>
      <w:r w:rsidR="0011117C" w:rsidRPr="0011117C">
        <w:rPr>
          <w:color w:val="000000" w:themeColor="text1"/>
          <w:lang w:val="en-US"/>
        </w:rPr>
        <w:t xml:space="preserve"> has minor differences with version 2.0.1. This is </w:t>
      </w:r>
      <w:r w:rsidR="007236F3">
        <w:rPr>
          <w:color w:val="000000" w:themeColor="text1"/>
          <w:lang w:val="en-US"/>
        </w:rPr>
        <w:t>indicated</w:t>
      </w:r>
      <w:r w:rsidR="0011117C" w:rsidRPr="0011117C">
        <w:rPr>
          <w:color w:val="000000" w:themeColor="text1"/>
          <w:lang w:val="en-US"/>
        </w:rPr>
        <w:t xml:space="preserve"> at the </w:t>
      </w:r>
      <w:r w:rsidR="0011117C">
        <w:rPr>
          <w:color w:val="000000" w:themeColor="text1"/>
          <w:lang w:val="en-US"/>
        </w:rPr>
        <w:t>end</w:t>
      </w:r>
      <w:r w:rsidR="0011117C" w:rsidRPr="0011117C">
        <w:rPr>
          <w:color w:val="000000" w:themeColor="text1"/>
          <w:lang w:val="en-US"/>
        </w:rPr>
        <w:t xml:space="preserve"> of the document.</w:t>
      </w:r>
    </w:p>
    <w:p w14:paraId="3FC67599" w14:textId="77777777" w:rsidR="009E345A" w:rsidRPr="009E345A" w:rsidRDefault="009E345A" w:rsidP="009E345A">
      <w:pPr>
        <w:rPr>
          <w:color w:val="FF0000"/>
          <w:lang w:val="en-US"/>
        </w:rPr>
      </w:pPr>
    </w:p>
    <w:p w14:paraId="3B9A34A4" w14:textId="77777777" w:rsidR="009E345A" w:rsidRPr="002C1265" w:rsidRDefault="009E345A" w:rsidP="009E345A">
      <w:pPr>
        <w:rPr>
          <w:color w:val="000000" w:themeColor="text1"/>
          <w:lang w:val="en-US"/>
        </w:rPr>
      </w:pPr>
      <w:r w:rsidRPr="002C1265">
        <w:rPr>
          <w:color w:val="000000" w:themeColor="text1"/>
          <w:lang w:val="en-US"/>
        </w:rPr>
        <w:t xml:space="preserve">The changes concern the following: </w:t>
      </w:r>
    </w:p>
    <w:p w14:paraId="25E24B0D" w14:textId="77777777" w:rsidR="009E345A" w:rsidRPr="002C1265" w:rsidRDefault="009E345A" w:rsidP="009E345A">
      <w:pPr>
        <w:rPr>
          <w:color w:val="000000" w:themeColor="text1"/>
          <w:lang w:val="en-US"/>
        </w:rPr>
      </w:pPr>
    </w:p>
    <w:p w14:paraId="7565F288" w14:textId="77777777" w:rsidR="009E345A" w:rsidRPr="002C1265" w:rsidRDefault="009E345A" w:rsidP="009E345A">
      <w:pPr>
        <w:pStyle w:val="Lijstalinea"/>
        <w:numPr>
          <w:ilvl w:val="0"/>
          <w:numId w:val="1"/>
        </w:numPr>
        <w:rPr>
          <w:color w:val="000000" w:themeColor="text1"/>
        </w:rPr>
      </w:pPr>
      <w:r w:rsidRPr="002C1265">
        <w:rPr>
          <w:color w:val="000000" w:themeColor="text1"/>
        </w:rPr>
        <w:t xml:space="preserve">Changes in </w:t>
      </w:r>
      <w:proofErr w:type="spellStart"/>
      <w:r w:rsidRPr="002C1265">
        <w:rPr>
          <w:color w:val="000000" w:themeColor="text1"/>
        </w:rPr>
        <w:t>existing</w:t>
      </w:r>
      <w:proofErr w:type="spellEnd"/>
      <w:r w:rsidRPr="002C1265">
        <w:rPr>
          <w:color w:val="000000" w:themeColor="text1"/>
        </w:rPr>
        <w:t xml:space="preserve"> </w:t>
      </w:r>
      <w:proofErr w:type="spellStart"/>
      <w:r w:rsidRPr="002C1265">
        <w:rPr>
          <w:color w:val="000000" w:themeColor="text1"/>
        </w:rPr>
        <w:t>forms</w:t>
      </w:r>
      <w:proofErr w:type="spellEnd"/>
    </w:p>
    <w:p w14:paraId="6316502D" w14:textId="77777777" w:rsidR="009E345A" w:rsidRPr="002C1265" w:rsidRDefault="009E345A" w:rsidP="009E345A">
      <w:pPr>
        <w:pStyle w:val="Lijstalinea"/>
        <w:numPr>
          <w:ilvl w:val="0"/>
          <w:numId w:val="1"/>
        </w:numPr>
        <w:rPr>
          <w:color w:val="000000" w:themeColor="text1"/>
        </w:rPr>
      </w:pPr>
      <w:proofErr w:type="spellStart"/>
      <w:r w:rsidRPr="002C1265">
        <w:rPr>
          <w:color w:val="000000" w:themeColor="text1"/>
        </w:rPr>
        <w:t>Addition</w:t>
      </w:r>
      <w:proofErr w:type="spellEnd"/>
      <w:r w:rsidRPr="002C1265">
        <w:rPr>
          <w:color w:val="000000" w:themeColor="text1"/>
        </w:rPr>
        <w:t xml:space="preserve"> of new </w:t>
      </w:r>
      <w:proofErr w:type="spellStart"/>
      <w:r w:rsidRPr="002C1265">
        <w:rPr>
          <w:color w:val="000000" w:themeColor="text1"/>
        </w:rPr>
        <w:t>forms</w:t>
      </w:r>
      <w:proofErr w:type="spellEnd"/>
    </w:p>
    <w:p w14:paraId="6A0EC974" w14:textId="77777777" w:rsidR="009E345A" w:rsidRPr="002C1265" w:rsidRDefault="009E345A" w:rsidP="009E345A">
      <w:pPr>
        <w:pStyle w:val="Lijstalinea"/>
        <w:numPr>
          <w:ilvl w:val="0"/>
          <w:numId w:val="1"/>
        </w:numPr>
        <w:rPr>
          <w:color w:val="000000" w:themeColor="text1"/>
        </w:rPr>
      </w:pPr>
      <w:proofErr w:type="spellStart"/>
      <w:r w:rsidRPr="002C1265">
        <w:rPr>
          <w:color w:val="000000" w:themeColor="text1"/>
        </w:rPr>
        <w:t>Adjustment</w:t>
      </w:r>
      <w:proofErr w:type="spellEnd"/>
      <w:r w:rsidRPr="002C1265">
        <w:rPr>
          <w:color w:val="000000" w:themeColor="text1"/>
        </w:rPr>
        <w:t xml:space="preserve"> of </w:t>
      </w:r>
      <w:proofErr w:type="spellStart"/>
      <w:r w:rsidRPr="002C1265">
        <w:rPr>
          <w:color w:val="000000" w:themeColor="text1"/>
        </w:rPr>
        <w:t>validation</w:t>
      </w:r>
      <w:proofErr w:type="spellEnd"/>
      <w:r w:rsidRPr="002C1265">
        <w:rPr>
          <w:color w:val="000000" w:themeColor="text1"/>
        </w:rPr>
        <w:t xml:space="preserve"> </w:t>
      </w:r>
      <w:proofErr w:type="spellStart"/>
      <w:r w:rsidRPr="002C1265">
        <w:rPr>
          <w:color w:val="000000" w:themeColor="text1"/>
        </w:rPr>
        <w:t>rules</w:t>
      </w:r>
      <w:proofErr w:type="spellEnd"/>
    </w:p>
    <w:p w14:paraId="545351B0" w14:textId="77777777" w:rsidR="002C1265" w:rsidRPr="002C1265" w:rsidRDefault="009E345A" w:rsidP="002C1265">
      <w:pPr>
        <w:pStyle w:val="Lijstalinea"/>
        <w:numPr>
          <w:ilvl w:val="0"/>
          <w:numId w:val="1"/>
        </w:numPr>
        <w:rPr>
          <w:color w:val="000000" w:themeColor="text1"/>
        </w:rPr>
      </w:pPr>
      <w:proofErr w:type="spellStart"/>
      <w:r w:rsidRPr="002C1265">
        <w:rPr>
          <w:color w:val="000000" w:themeColor="text1"/>
        </w:rPr>
        <w:t>Adjustment</w:t>
      </w:r>
      <w:proofErr w:type="spellEnd"/>
      <w:r w:rsidRPr="002C1265">
        <w:rPr>
          <w:color w:val="000000" w:themeColor="text1"/>
        </w:rPr>
        <w:t xml:space="preserve"> of </w:t>
      </w:r>
      <w:proofErr w:type="spellStart"/>
      <w:r w:rsidRPr="002C1265">
        <w:rPr>
          <w:color w:val="000000" w:themeColor="text1"/>
        </w:rPr>
        <w:t>the</w:t>
      </w:r>
      <w:proofErr w:type="spellEnd"/>
      <w:r w:rsidRPr="002C1265">
        <w:rPr>
          <w:color w:val="000000" w:themeColor="text1"/>
        </w:rPr>
        <w:t xml:space="preserve"> country </w:t>
      </w:r>
      <w:proofErr w:type="spellStart"/>
      <w:r w:rsidRPr="002C1265">
        <w:rPr>
          <w:color w:val="000000" w:themeColor="text1"/>
        </w:rPr>
        <w:t>tables</w:t>
      </w:r>
      <w:proofErr w:type="spellEnd"/>
    </w:p>
    <w:p w14:paraId="73C71E90" w14:textId="56D2CDE8" w:rsidR="009E345A" w:rsidRPr="002C1265" w:rsidRDefault="009E345A" w:rsidP="00AB4F33">
      <w:pPr>
        <w:ind w:firstLine="708"/>
        <w:rPr>
          <w:color w:val="000000" w:themeColor="text1"/>
          <w:lang w:val="en-US"/>
        </w:rPr>
      </w:pPr>
      <w:r w:rsidRPr="002C1265">
        <w:rPr>
          <w:color w:val="000000" w:themeColor="text1"/>
          <w:lang w:val="en-US"/>
        </w:rPr>
        <w:t>Annex.</w:t>
      </w:r>
      <w:r w:rsidR="00AB4F33">
        <w:rPr>
          <w:color w:val="000000" w:themeColor="text1"/>
          <w:lang w:val="en-US"/>
        </w:rPr>
        <w:t xml:space="preserve"> </w:t>
      </w:r>
      <w:r w:rsidRPr="002C1265">
        <w:rPr>
          <w:color w:val="000000" w:themeColor="text1"/>
          <w:lang w:val="en-US"/>
        </w:rPr>
        <w:t>New interaction within Table group 5: TG9013</w:t>
      </w:r>
    </w:p>
    <w:p w14:paraId="38EC75B8" w14:textId="77777777" w:rsidR="009E345A" w:rsidRDefault="009E345A" w:rsidP="009E345A">
      <w:pPr>
        <w:jc w:val="right"/>
        <w:rPr>
          <w:lang w:val="en-US"/>
        </w:rPr>
      </w:pPr>
    </w:p>
    <w:p w14:paraId="626CF3FA" w14:textId="77777777" w:rsidR="009E345A" w:rsidRPr="00190219" w:rsidRDefault="009E345A" w:rsidP="009E345A">
      <w:pPr>
        <w:rPr>
          <w:lang w:val="en-US"/>
        </w:rPr>
      </w:pPr>
      <w:r>
        <w:rPr>
          <w:lang w:val="en-US"/>
        </w:rPr>
        <w:t xml:space="preserve">The reporting based on the new taxonomy version 2.0.1 will enter into force over reporting period January 2022 for monthly reporting agents and over the reporting period Q1 of 2022 for the quarterly reporting agents. </w:t>
      </w:r>
    </w:p>
    <w:p w14:paraId="08D89963" w14:textId="77777777" w:rsidR="009E345A" w:rsidRPr="000E6612" w:rsidRDefault="009E345A" w:rsidP="009E345A">
      <w:pPr>
        <w:rPr>
          <w:sz w:val="28"/>
          <w:szCs w:val="28"/>
          <w:lang w:val="en-US"/>
        </w:rPr>
      </w:pPr>
    </w:p>
    <w:p w14:paraId="78811D17" w14:textId="77777777" w:rsidR="009E345A" w:rsidRPr="00B37E8C" w:rsidRDefault="009E345A" w:rsidP="009E345A">
      <w:pPr>
        <w:rPr>
          <w:b/>
          <w:sz w:val="22"/>
          <w:szCs w:val="22"/>
          <w:lang w:val="en-US"/>
        </w:rPr>
      </w:pPr>
      <w:r w:rsidRPr="00B37E8C">
        <w:rPr>
          <w:b/>
          <w:sz w:val="22"/>
          <w:szCs w:val="22"/>
          <w:lang w:val="en-US"/>
        </w:rPr>
        <w:t xml:space="preserve">1. </w:t>
      </w:r>
      <w:r w:rsidRPr="008E05DD">
        <w:rPr>
          <w:b/>
          <w:sz w:val="22"/>
          <w:szCs w:val="22"/>
          <w:lang w:val="en-US"/>
        </w:rPr>
        <w:t>Changes in existing forms</w:t>
      </w:r>
    </w:p>
    <w:p w14:paraId="0C45E90E" w14:textId="77777777" w:rsidR="009E345A" w:rsidRPr="00B37E8C" w:rsidRDefault="009E345A" w:rsidP="009E345A">
      <w:pPr>
        <w:pStyle w:val="Lijstalinea"/>
        <w:rPr>
          <w:sz w:val="28"/>
          <w:szCs w:val="28"/>
          <w:lang w:val="en-US"/>
        </w:rPr>
      </w:pPr>
    </w:p>
    <w:p w14:paraId="710A6E90" w14:textId="4C8F614D" w:rsidR="002C1265" w:rsidRDefault="002C1265" w:rsidP="002C1265">
      <w:pPr>
        <w:pStyle w:val="Lijstalinea"/>
        <w:numPr>
          <w:ilvl w:val="1"/>
          <w:numId w:val="2"/>
        </w:numPr>
        <w:rPr>
          <w:b/>
          <w:color w:val="FF0000"/>
          <w:lang w:val="en-US"/>
        </w:rPr>
      </w:pPr>
      <w:r w:rsidRPr="002C1265">
        <w:rPr>
          <w:b/>
          <w:color w:val="FF0000"/>
          <w:lang w:val="en-US"/>
        </w:rPr>
        <w:t xml:space="preserve">Form </w:t>
      </w:r>
      <w:r w:rsidR="00430AC4">
        <w:rPr>
          <w:b/>
          <w:color w:val="FF0000"/>
          <w:lang w:val="en-US"/>
        </w:rPr>
        <w:t>8</w:t>
      </w:r>
      <w:r w:rsidRPr="002C1265">
        <w:rPr>
          <w:b/>
          <w:color w:val="FF0000"/>
          <w:lang w:val="en-US"/>
        </w:rPr>
        <w:t>097A: Reporting of statistical positions for calculating minimum reserves</w:t>
      </w:r>
    </w:p>
    <w:p w14:paraId="38407828" w14:textId="77777777" w:rsidR="002C1265" w:rsidRPr="002C1265" w:rsidRDefault="002C1265" w:rsidP="002C1265">
      <w:pPr>
        <w:rPr>
          <w:b/>
          <w:color w:val="FF0000"/>
          <w:lang w:val="en-US"/>
        </w:rPr>
      </w:pPr>
    </w:p>
    <w:p w14:paraId="1C4E7B76" w14:textId="77777777" w:rsidR="002C1265" w:rsidRPr="002C1265" w:rsidRDefault="002C1265" w:rsidP="002C1265">
      <w:pPr>
        <w:rPr>
          <w:color w:val="FF0000"/>
          <w:lang w:val="en-US"/>
        </w:rPr>
      </w:pPr>
      <w:r w:rsidRPr="002C1265">
        <w:rPr>
          <w:color w:val="FF0000"/>
          <w:lang w:val="en-US"/>
        </w:rPr>
        <w:t xml:space="preserve">New counterparty SIFs (Systemic Investment Firms) added to the form. </w:t>
      </w:r>
    </w:p>
    <w:p w14:paraId="09E32B0C" w14:textId="77777777" w:rsidR="002C1265" w:rsidRPr="002C1265" w:rsidRDefault="002C1265" w:rsidP="002C1265">
      <w:pPr>
        <w:rPr>
          <w:b/>
          <w:color w:val="FF0000"/>
          <w:lang w:val="en-US"/>
        </w:rPr>
      </w:pPr>
    </w:p>
    <w:p w14:paraId="6AF72248" w14:textId="77777777" w:rsidR="009E345A" w:rsidRPr="00C47858" w:rsidRDefault="009E345A" w:rsidP="009E345A">
      <w:pPr>
        <w:rPr>
          <w:b/>
          <w:lang w:val="en-US"/>
        </w:rPr>
      </w:pPr>
      <w:r w:rsidRPr="001D77CF">
        <w:rPr>
          <w:b/>
          <w:lang w:val="en-US"/>
        </w:rPr>
        <w:t>1.</w:t>
      </w:r>
      <w:r w:rsidR="002C1265">
        <w:rPr>
          <w:b/>
          <w:lang w:val="en-US"/>
        </w:rPr>
        <w:t>2</w:t>
      </w:r>
      <w:r w:rsidRPr="001D77CF">
        <w:rPr>
          <w:b/>
          <w:lang w:val="en-US"/>
        </w:rPr>
        <w:t xml:space="preserve"> </w:t>
      </w:r>
      <w:r>
        <w:rPr>
          <w:b/>
          <w:lang w:val="en-US"/>
        </w:rPr>
        <w:t xml:space="preserve">Form </w:t>
      </w:r>
      <w:r w:rsidRPr="001D77CF">
        <w:rPr>
          <w:b/>
          <w:lang w:val="en-US"/>
        </w:rPr>
        <w:t xml:space="preserve">T9001HK1 - Debt positions owned by Dutch MFIs to counterparties in MFIs, </w:t>
      </w:r>
      <w:r w:rsidRPr="00C47858">
        <w:rPr>
          <w:b/>
          <w:lang w:val="en-US"/>
        </w:rPr>
        <w:t>government and private sector</w:t>
      </w:r>
    </w:p>
    <w:p w14:paraId="25EB0378" w14:textId="77777777" w:rsidR="009E345A" w:rsidRPr="00967DC8" w:rsidRDefault="009E345A" w:rsidP="009E345A">
      <w:pPr>
        <w:rPr>
          <w:lang w:val="en-US"/>
        </w:rPr>
      </w:pPr>
    </w:p>
    <w:p w14:paraId="43F0C7DE" w14:textId="77777777" w:rsidR="009E345A" w:rsidRPr="00E42364" w:rsidRDefault="009E345A" w:rsidP="009E345A">
      <w:pPr>
        <w:rPr>
          <w:lang w:val="en-US"/>
        </w:rPr>
      </w:pPr>
      <w:r>
        <w:rPr>
          <w:lang w:val="en-US"/>
        </w:rPr>
        <w:t xml:space="preserve">Counterparty </w:t>
      </w:r>
      <w:r w:rsidRPr="00E42364">
        <w:rPr>
          <w:lang w:val="en-US"/>
        </w:rPr>
        <w:t>Other financial institutions (‘OFIs’) now has the following sector</w:t>
      </w:r>
      <w:r>
        <w:rPr>
          <w:lang w:val="en-US"/>
        </w:rPr>
        <w:t>al</w:t>
      </w:r>
      <w:r w:rsidRPr="00E42364">
        <w:rPr>
          <w:lang w:val="en-US"/>
        </w:rPr>
        <w:t xml:space="preserve"> breakdown: </w:t>
      </w:r>
    </w:p>
    <w:p w14:paraId="07306F1C" w14:textId="77777777" w:rsidR="009E345A" w:rsidRPr="00E42364" w:rsidRDefault="009E345A" w:rsidP="009E345A">
      <w:pPr>
        <w:rPr>
          <w:lang w:val="en-US"/>
        </w:rPr>
      </w:pPr>
    </w:p>
    <w:p w14:paraId="68234861" w14:textId="77777777" w:rsidR="009E345A" w:rsidRPr="00C45EEC" w:rsidRDefault="009E345A" w:rsidP="009E345A">
      <w:pPr>
        <w:rPr>
          <w:lang w:val="en-US"/>
        </w:rPr>
      </w:pPr>
      <w:r>
        <w:rPr>
          <w:lang w:val="en-US"/>
        </w:rPr>
        <w:t>•</w:t>
      </w:r>
      <w:r>
        <w:rPr>
          <w:lang w:val="en-US"/>
        </w:rPr>
        <w:tab/>
        <w:t>Investment funds</w:t>
      </w:r>
    </w:p>
    <w:p w14:paraId="2C9CAED2" w14:textId="77777777" w:rsidR="009E345A" w:rsidRPr="00C45EEC" w:rsidRDefault="009E345A" w:rsidP="009E345A">
      <w:pPr>
        <w:rPr>
          <w:lang w:val="en-US"/>
        </w:rPr>
      </w:pPr>
      <w:r w:rsidRPr="00C45EEC">
        <w:rPr>
          <w:lang w:val="en-US"/>
        </w:rPr>
        <w:t>•</w:t>
      </w:r>
      <w:r w:rsidRPr="00C45EEC">
        <w:rPr>
          <w:lang w:val="en-US"/>
        </w:rPr>
        <w:tab/>
      </w:r>
      <w:r>
        <w:rPr>
          <w:lang w:val="en-US"/>
        </w:rPr>
        <w:t>Other financial intermediaries</w:t>
      </w:r>
    </w:p>
    <w:p w14:paraId="11EB7241" w14:textId="77777777" w:rsidR="009E345A" w:rsidRPr="00C45EEC" w:rsidRDefault="009E345A" w:rsidP="009E345A">
      <w:pPr>
        <w:ind w:firstLine="709"/>
        <w:rPr>
          <w:lang w:val="en-US"/>
        </w:rPr>
      </w:pPr>
      <w:r w:rsidRPr="00C45EEC">
        <w:rPr>
          <w:lang w:val="en-US"/>
        </w:rPr>
        <w:t>-</w:t>
      </w:r>
      <w:r w:rsidRPr="00C45EEC">
        <w:rPr>
          <w:lang w:val="en-US"/>
        </w:rPr>
        <w:tab/>
      </w:r>
      <w:r>
        <w:rPr>
          <w:lang w:val="en-US"/>
        </w:rPr>
        <w:t>Financial vehicle corporations</w:t>
      </w:r>
    </w:p>
    <w:p w14:paraId="108AD16D" w14:textId="77777777" w:rsidR="009E345A" w:rsidRPr="00C45EEC" w:rsidRDefault="009E345A" w:rsidP="009E345A">
      <w:pPr>
        <w:ind w:firstLine="709"/>
        <w:rPr>
          <w:lang w:val="en-US"/>
        </w:rPr>
      </w:pPr>
      <w:r>
        <w:rPr>
          <w:lang w:val="en-US"/>
        </w:rPr>
        <w:t>-</w:t>
      </w:r>
      <w:r>
        <w:rPr>
          <w:lang w:val="en-US"/>
        </w:rPr>
        <w:tab/>
        <w:t>Central counterparties (CCP)</w:t>
      </w:r>
    </w:p>
    <w:p w14:paraId="389103B6" w14:textId="77777777" w:rsidR="009E345A" w:rsidRPr="00C45EEC" w:rsidRDefault="009E345A" w:rsidP="009E345A">
      <w:pPr>
        <w:ind w:firstLine="709"/>
        <w:rPr>
          <w:lang w:val="en-US"/>
        </w:rPr>
      </w:pPr>
      <w:r w:rsidRPr="00C45EEC">
        <w:rPr>
          <w:lang w:val="en-US"/>
        </w:rPr>
        <w:t>-</w:t>
      </w:r>
      <w:r w:rsidRPr="00C45EEC">
        <w:rPr>
          <w:lang w:val="en-US"/>
        </w:rPr>
        <w:tab/>
        <w:t>Remaining</w:t>
      </w:r>
      <w:r>
        <w:rPr>
          <w:lang w:val="en-US"/>
        </w:rPr>
        <w:t xml:space="preserve"> other financial intermediaries</w:t>
      </w:r>
    </w:p>
    <w:p w14:paraId="2E48310A" w14:textId="77777777" w:rsidR="009E345A" w:rsidRPr="00C45EEC" w:rsidRDefault="009E345A" w:rsidP="009E345A">
      <w:pPr>
        <w:rPr>
          <w:lang w:val="en-US"/>
        </w:rPr>
      </w:pPr>
      <w:r w:rsidRPr="00C45EEC">
        <w:rPr>
          <w:lang w:val="en-US"/>
        </w:rPr>
        <w:t>•</w:t>
      </w:r>
      <w:r w:rsidRPr="00C45EEC">
        <w:rPr>
          <w:lang w:val="en-US"/>
        </w:rPr>
        <w:tab/>
        <w:t>Financial auxiliaries</w:t>
      </w:r>
    </w:p>
    <w:p w14:paraId="228E10E5" w14:textId="77777777" w:rsidR="009E345A" w:rsidRPr="00C45EEC" w:rsidRDefault="009E345A" w:rsidP="009E345A">
      <w:pPr>
        <w:rPr>
          <w:lang w:val="en-US"/>
        </w:rPr>
      </w:pPr>
      <w:r w:rsidRPr="00C45EEC">
        <w:rPr>
          <w:lang w:val="en-US"/>
        </w:rPr>
        <w:t>•</w:t>
      </w:r>
      <w:r w:rsidRPr="00C45EEC">
        <w:rPr>
          <w:lang w:val="en-US"/>
        </w:rPr>
        <w:tab/>
        <w:t>Captive financial institutions and money lenders</w:t>
      </w:r>
    </w:p>
    <w:p w14:paraId="3F2AE6E0" w14:textId="77777777" w:rsidR="009E345A" w:rsidRDefault="009E345A" w:rsidP="009E345A">
      <w:pPr>
        <w:rPr>
          <w:lang w:val="en-US"/>
        </w:rPr>
      </w:pPr>
    </w:p>
    <w:p w14:paraId="6BE7F65D" w14:textId="77777777" w:rsidR="009E345A" w:rsidRPr="00E42364" w:rsidRDefault="009E345A" w:rsidP="009E345A">
      <w:pPr>
        <w:rPr>
          <w:lang w:val="en-US"/>
        </w:rPr>
      </w:pPr>
      <w:r>
        <w:rPr>
          <w:lang w:val="en-US"/>
        </w:rPr>
        <w:t xml:space="preserve">For instrument </w:t>
      </w:r>
      <w:r w:rsidRPr="00E42364">
        <w:rPr>
          <w:lang w:val="en-US"/>
        </w:rPr>
        <w:t xml:space="preserve">Participations </w:t>
      </w:r>
      <w:r>
        <w:rPr>
          <w:lang w:val="en-US"/>
        </w:rPr>
        <w:t>an additional distinction is made for counterparties</w:t>
      </w:r>
      <w:r w:rsidRPr="00E42364">
        <w:rPr>
          <w:lang w:val="en-US"/>
        </w:rPr>
        <w:t xml:space="preserve"> Central Bank </w:t>
      </w:r>
      <w:r>
        <w:rPr>
          <w:lang w:val="en-US"/>
        </w:rPr>
        <w:t>and</w:t>
      </w:r>
      <w:r w:rsidRPr="00E42364">
        <w:rPr>
          <w:lang w:val="en-US"/>
        </w:rPr>
        <w:t xml:space="preserve"> Government.</w:t>
      </w:r>
    </w:p>
    <w:p w14:paraId="3CE34991" w14:textId="77777777" w:rsidR="009E345A" w:rsidRPr="00E42364" w:rsidRDefault="009E345A" w:rsidP="009E345A">
      <w:pPr>
        <w:rPr>
          <w:lang w:val="en-US"/>
        </w:rPr>
      </w:pPr>
    </w:p>
    <w:p w14:paraId="768A1C36" w14:textId="77777777" w:rsidR="009E345A" w:rsidRPr="006F3654" w:rsidRDefault="009E345A" w:rsidP="009E345A">
      <w:pPr>
        <w:rPr>
          <w:lang w:val="en-US"/>
        </w:rPr>
      </w:pPr>
      <w:r w:rsidRPr="006F3654">
        <w:rPr>
          <w:lang w:val="en-US"/>
        </w:rPr>
        <w:t>Lo</w:t>
      </w:r>
      <w:r>
        <w:rPr>
          <w:lang w:val="en-US"/>
        </w:rPr>
        <w:t>ans granted and deposits placed</w:t>
      </w:r>
      <w:r w:rsidRPr="006F3654">
        <w:rPr>
          <w:lang w:val="en-US"/>
        </w:rPr>
        <w:t xml:space="preserve"> now has the following maturity breakdown: </w:t>
      </w:r>
    </w:p>
    <w:p w14:paraId="2B6929F9" w14:textId="77777777" w:rsidR="009E345A" w:rsidRPr="006F3654" w:rsidRDefault="009E345A" w:rsidP="009E345A">
      <w:pPr>
        <w:rPr>
          <w:lang w:val="en-US"/>
        </w:rPr>
      </w:pPr>
    </w:p>
    <w:p w14:paraId="7C7BEDBA" w14:textId="77777777" w:rsidR="009E345A" w:rsidRDefault="009E345A" w:rsidP="009E345A">
      <w:pPr>
        <w:rPr>
          <w:lang w:val="en-US"/>
        </w:rPr>
      </w:pPr>
      <w:r>
        <w:rPr>
          <w:lang w:val="en-US"/>
        </w:rPr>
        <w:t>•</w:t>
      </w:r>
      <w:r>
        <w:rPr>
          <w:lang w:val="en-US"/>
        </w:rPr>
        <w:tab/>
        <w:t>Maturity &lt;= 1 year</w:t>
      </w:r>
    </w:p>
    <w:p w14:paraId="395BE238" w14:textId="77777777" w:rsidR="009E345A" w:rsidRDefault="009E345A" w:rsidP="009E345A">
      <w:pPr>
        <w:rPr>
          <w:lang w:val="en-US"/>
        </w:rPr>
      </w:pPr>
      <w:r>
        <w:rPr>
          <w:lang w:val="en-US"/>
        </w:rPr>
        <w:t>•</w:t>
      </w:r>
      <w:r>
        <w:rPr>
          <w:lang w:val="en-US"/>
        </w:rPr>
        <w:tab/>
        <w:t>&gt; 1 year maturity &lt;= 2 year</w:t>
      </w:r>
    </w:p>
    <w:p w14:paraId="15025CAE" w14:textId="77777777" w:rsidR="009E345A" w:rsidRDefault="009E345A" w:rsidP="009E345A">
      <w:pPr>
        <w:rPr>
          <w:lang w:val="en-US"/>
        </w:rPr>
      </w:pPr>
      <w:r>
        <w:rPr>
          <w:lang w:val="en-US"/>
        </w:rPr>
        <w:t>•</w:t>
      </w:r>
      <w:r>
        <w:rPr>
          <w:lang w:val="en-US"/>
        </w:rPr>
        <w:tab/>
        <w:t>&gt; 2 year maturity &lt;= 5 year</w:t>
      </w:r>
    </w:p>
    <w:p w14:paraId="16AA4CFD" w14:textId="77777777" w:rsidR="009E345A" w:rsidRPr="00B37E8C" w:rsidRDefault="009E345A" w:rsidP="009E345A">
      <w:pPr>
        <w:rPr>
          <w:lang w:val="en-US"/>
        </w:rPr>
      </w:pPr>
      <w:r w:rsidRPr="00B37E8C">
        <w:rPr>
          <w:lang w:val="en-US"/>
        </w:rPr>
        <w:lastRenderedPageBreak/>
        <w:t>•</w:t>
      </w:r>
      <w:r w:rsidRPr="00B37E8C">
        <w:rPr>
          <w:lang w:val="en-US"/>
        </w:rPr>
        <w:tab/>
        <w:t>Maturity &gt; 5 year</w:t>
      </w:r>
    </w:p>
    <w:p w14:paraId="1E584E38" w14:textId="77777777" w:rsidR="009E345A" w:rsidRPr="00B37E8C" w:rsidRDefault="009E345A" w:rsidP="009E345A">
      <w:pPr>
        <w:rPr>
          <w:lang w:val="en-US"/>
        </w:rPr>
      </w:pPr>
    </w:p>
    <w:p w14:paraId="3CBD78AF" w14:textId="77777777" w:rsidR="009E345A" w:rsidRPr="006F3654" w:rsidRDefault="009E345A" w:rsidP="009E345A">
      <w:pPr>
        <w:rPr>
          <w:lang w:val="en-US"/>
        </w:rPr>
      </w:pPr>
      <w:r w:rsidRPr="006F3654">
        <w:rPr>
          <w:lang w:val="en-US"/>
        </w:rPr>
        <w:t>For Notional cash pooing an additional distinction is made for counterparties</w:t>
      </w:r>
      <w:r>
        <w:rPr>
          <w:lang w:val="en-US"/>
        </w:rPr>
        <w:t xml:space="preserve"> MFIs, </w:t>
      </w:r>
      <w:r w:rsidRPr="006F3654">
        <w:rPr>
          <w:lang w:val="en-US"/>
        </w:rPr>
        <w:t>Government</w:t>
      </w:r>
      <w:r>
        <w:rPr>
          <w:lang w:val="en-US"/>
        </w:rPr>
        <w:t xml:space="preserve"> and Non-bank within own group. </w:t>
      </w:r>
    </w:p>
    <w:p w14:paraId="4BCBB035" w14:textId="77777777" w:rsidR="009E345A" w:rsidRDefault="009E345A" w:rsidP="009E345A">
      <w:pPr>
        <w:rPr>
          <w:lang w:val="en-US"/>
        </w:rPr>
      </w:pPr>
    </w:p>
    <w:p w14:paraId="6033CAE7" w14:textId="77777777" w:rsidR="002C1265" w:rsidRPr="002C1265" w:rsidRDefault="002C1265" w:rsidP="002C1265">
      <w:pPr>
        <w:rPr>
          <w:color w:val="FF0000"/>
          <w:lang w:val="en-US"/>
        </w:rPr>
      </w:pPr>
      <w:r w:rsidRPr="002C1265">
        <w:rPr>
          <w:color w:val="FF0000"/>
          <w:lang w:val="en-US"/>
        </w:rPr>
        <w:t xml:space="preserve">New counterparty SIFs (Systemic Investment Firms) added to the form. </w:t>
      </w:r>
    </w:p>
    <w:p w14:paraId="3DFBDE1A" w14:textId="77777777" w:rsidR="009E345A" w:rsidRDefault="009E345A" w:rsidP="009E345A">
      <w:pPr>
        <w:rPr>
          <w:b/>
          <w:lang w:val="en-US"/>
        </w:rPr>
      </w:pPr>
    </w:p>
    <w:p w14:paraId="028471A7" w14:textId="77777777" w:rsidR="009E345A" w:rsidRDefault="009E345A" w:rsidP="009E345A">
      <w:pPr>
        <w:rPr>
          <w:b/>
          <w:lang w:val="en-US"/>
        </w:rPr>
      </w:pPr>
    </w:p>
    <w:p w14:paraId="2E08BDDB" w14:textId="77777777" w:rsidR="009E345A" w:rsidRPr="001D77CF" w:rsidRDefault="009E345A" w:rsidP="009E345A">
      <w:pPr>
        <w:rPr>
          <w:b/>
          <w:lang w:val="en-US"/>
        </w:rPr>
      </w:pPr>
      <w:r w:rsidRPr="001D77CF">
        <w:rPr>
          <w:b/>
          <w:lang w:val="en-US"/>
        </w:rPr>
        <w:t>1.</w:t>
      </w:r>
      <w:r w:rsidR="002C1265">
        <w:rPr>
          <w:b/>
          <w:lang w:val="en-US"/>
        </w:rPr>
        <w:t>3</w:t>
      </w:r>
      <w:r w:rsidRPr="001D77CF">
        <w:rPr>
          <w:b/>
          <w:lang w:val="en-US"/>
        </w:rPr>
        <w:t xml:space="preserve"> </w:t>
      </w:r>
      <w:r>
        <w:rPr>
          <w:b/>
          <w:lang w:val="en-US"/>
        </w:rPr>
        <w:t>Form</w:t>
      </w:r>
      <w:r w:rsidRPr="001D77CF">
        <w:rPr>
          <w:b/>
          <w:lang w:val="en-US"/>
        </w:rPr>
        <w:t xml:space="preserve"> T9001HK2 - Securities held by Dutch MFIs</w:t>
      </w:r>
    </w:p>
    <w:p w14:paraId="20683827" w14:textId="77777777" w:rsidR="009E345A" w:rsidRPr="00C97327" w:rsidRDefault="009E345A" w:rsidP="009E345A">
      <w:pPr>
        <w:rPr>
          <w:lang w:val="en-US"/>
        </w:rPr>
      </w:pPr>
    </w:p>
    <w:p w14:paraId="593F067C" w14:textId="77777777" w:rsidR="009E345A" w:rsidRPr="00DD2EAA" w:rsidRDefault="009E345A" w:rsidP="009E345A">
      <w:pPr>
        <w:rPr>
          <w:lang w:val="en-US"/>
        </w:rPr>
      </w:pPr>
      <w:r w:rsidRPr="00DD2EAA">
        <w:rPr>
          <w:lang w:val="en-US"/>
        </w:rPr>
        <w:t xml:space="preserve">Counterparty MFIs </w:t>
      </w:r>
      <w:r w:rsidRPr="00E42364">
        <w:rPr>
          <w:lang w:val="en-US"/>
        </w:rPr>
        <w:t>now has the following sector</w:t>
      </w:r>
      <w:r>
        <w:rPr>
          <w:lang w:val="en-US"/>
        </w:rPr>
        <w:t>al</w:t>
      </w:r>
      <w:r w:rsidRPr="00E42364">
        <w:rPr>
          <w:lang w:val="en-US"/>
        </w:rPr>
        <w:t xml:space="preserve"> breakdown:</w:t>
      </w:r>
    </w:p>
    <w:p w14:paraId="61E8A67A" w14:textId="77777777" w:rsidR="009E345A" w:rsidRPr="00DD2EAA" w:rsidRDefault="009E345A" w:rsidP="009E345A">
      <w:pPr>
        <w:rPr>
          <w:lang w:val="en-US"/>
        </w:rPr>
      </w:pPr>
    </w:p>
    <w:p w14:paraId="35477195" w14:textId="77777777" w:rsidR="009E345A" w:rsidRPr="00C45EEC" w:rsidRDefault="009E345A" w:rsidP="009E345A">
      <w:pPr>
        <w:rPr>
          <w:lang w:val="en-US"/>
        </w:rPr>
      </w:pPr>
      <w:r>
        <w:rPr>
          <w:lang w:val="en-US"/>
        </w:rPr>
        <w:t>•</w:t>
      </w:r>
      <w:r>
        <w:rPr>
          <w:lang w:val="en-US"/>
        </w:rPr>
        <w:tab/>
        <w:t>Central bank</w:t>
      </w:r>
    </w:p>
    <w:p w14:paraId="10DD441D" w14:textId="77777777" w:rsidR="009E345A" w:rsidRPr="00C45EEC" w:rsidRDefault="009E345A" w:rsidP="009E345A">
      <w:pPr>
        <w:rPr>
          <w:lang w:val="en-US"/>
        </w:rPr>
      </w:pPr>
      <w:r w:rsidRPr="00C45EEC">
        <w:rPr>
          <w:lang w:val="en-US"/>
        </w:rPr>
        <w:t>•</w:t>
      </w:r>
      <w:r w:rsidRPr="00C45EEC">
        <w:rPr>
          <w:lang w:val="en-US"/>
        </w:rPr>
        <w:tab/>
      </w:r>
      <w:r>
        <w:rPr>
          <w:lang w:val="en-US"/>
        </w:rPr>
        <w:t>Deposit-taking corporations</w:t>
      </w:r>
    </w:p>
    <w:p w14:paraId="138ABDFE" w14:textId="77777777" w:rsidR="009E345A" w:rsidRPr="00C45EEC" w:rsidRDefault="009E345A" w:rsidP="009E345A">
      <w:pPr>
        <w:ind w:firstLine="709"/>
        <w:rPr>
          <w:lang w:val="en-US"/>
        </w:rPr>
      </w:pPr>
      <w:r w:rsidRPr="00C45EEC">
        <w:rPr>
          <w:lang w:val="en-US"/>
        </w:rPr>
        <w:t>-</w:t>
      </w:r>
      <w:r w:rsidRPr="00C45EEC">
        <w:rPr>
          <w:lang w:val="en-US"/>
        </w:rPr>
        <w:tab/>
      </w:r>
      <w:r>
        <w:rPr>
          <w:lang w:val="en-US"/>
        </w:rPr>
        <w:t>Credit institutions within own group</w:t>
      </w:r>
    </w:p>
    <w:p w14:paraId="4CA76841" w14:textId="77777777" w:rsidR="009E345A" w:rsidRPr="00C45EEC" w:rsidRDefault="009E345A" w:rsidP="009E345A">
      <w:pPr>
        <w:ind w:firstLine="709"/>
        <w:rPr>
          <w:lang w:val="en-US"/>
        </w:rPr>
      </w:pPr>
      <w:r>
        <w:rPr>
          <w:lang w:val="en-US"/>
        </w:rPr>
        <w:t>-</w:t>
      </w:r>
      <w:r>
        <w:rPr>
          <w:lang w:val="en-US"/>
        </w:rPr>
        <w:tab/>
        <w:t>Credit institutions outside own group</w:t>
      </w:r>
    </w:p>
    <w:p w14:paraId="4D575B2E" w14:textId="77777777" w:rsidR="009E345A" w:rsidRPr="00C45EEC" w:rsidRDefault="009E345A" w:rsidP="009E345A">
      <w:pPr>
        <w:ind w:firstLine="709"/>
        <w:rPr>
          <w:lang w:val="en-US"/>
        </w:rPr>
      </w:pPr>
      <w:r w:rsidRPr="00C45EEC">
        <w:rPr>
          <w:lang w:val="en-US"/>
        </w:rPr>
        <w:t>-</w:t>
      </w:r>
      <w:r w:rsidRPr="00C45EEC">
        <w:rPr>
          <w:lang w:val="en-US"/>
        </w:rPr>
        <w:tab/>
      </w:r>
      <w:r w:rsidRPr="009B4C9A">
        <w:rPr>
          <w:lang w:val="en-US"/>
        </w:rPr>
        <w:t>Deposit-taking corporations other than credit institutions</w:t>
      </w:r>
    </w:p>
    <w:p w14:paraId="2B51DE30" w14:textId="77777777" w:rsidR="009E345A" w:rsidRPr="00C45EEC" w:rsidRDefault="009E345A" w:rsidP="009E345A">
      <w:pPr>
        <w:rPr>
          <w:lang w:val="en-US"/>
        </w:rPr>
      </w:pPr>
      <w:r w:rsidRPr="00C45EEC">
        <w:rPr>
          <w:lang w:val="en-US"/>
        </w:rPr>
        <w:t>•</w:t>
      </w:r>
      <w:r w:rsidRPr="00C45EEC">
        <w:rPr>
          <w:lang w:val="en-US"/>
        </w:rPr>
        <w:tab/>
      </w:r>
      <w:r>
        <w:rPr>
          <w:lang w:val="en-US"/>
        </w:rPr>
        <w:t>Money market funds</w:t>
      </w:r>
    </w:p>
    <w:p w14:paraId="7EC58F2E" w14:textId="77777777" w:rsidR="009E345A" w:rsidRPr="00D6675A" w:rsidRDefault="009E345A" w:rsidP="009E345A">
      <w:pPr>
        <w:rPr>
          <w:lang w:val="en-US"/>
        </w:rPr>
      </w:pPr>
    </w:p>
    <w:p w14:paraId="7C12DD4E" w14:textId="77777777" w:rsidR="009E345A" w:rsidRPr="00E42364" w:rsidRDefault="009E345A" w:rsidP="009E345A">
      <w:pPr>
        <w:rPr>
          <w:lang w:val="en-US"/>
        </w:rPr>
      </w:pPr>
      <w:r>
        <w:rPr>
          <w:lang w:val="en-US"/>
        </w:rPr>
        <w:t xml:space="preserve">Counterparty </w:t>
      </w:r>
      <w:r w:rsidRPr="00E42364">
        <w:rPr>
          <w:lang w:val="en-US"/>
        </w:rPr>
        <w:t>Other financial institutions (‘OFIs’) now has the following sector</w:t>
      </w:r>
      <w:r>
        <w:rPr>
          <w:lang w:val="en-US"/>
        </w:rPr>
        <w:t>al</w:t>
      </w:r>
      <w:r w:rsidRPr="00E42364">
        <w:rPr>
          <w:lang w:val="en-US"/>
        </w:rPr>
        <w:t xml:space="preserve"> breakdown: </w:t>
      </w:r>
    </w:p>
    <w:p w14:paraId="7AC0F471" w14:textId="77777777" w:rsidR="009E345A" w:rsidRPr="00E42364" w:rsidRDefault="009E345A" w:rsidP="009E345A">
      <w:pPr>
        <w:rPr>
          <w:lang w:val="en-US"/>
        </w:rPr>
      </w:pPr>
    </w:p>
    <w:p w14:paraId="576E7DAC" w14:textId="77777777" w:rsidR="009E345A" w:rsidRPr="00C45EEC" w:rsidRDefault="009E345A" w:rsidP="009E345A">
      <w:pPr>
        <w:rPr>
          <w:lang w:val="en-US"/>
        </w:rPr>
      </w:pPr>
      <w:r>
        <w:rPr>
          <w:lang w:val="en-US"/>
        </w:rPr>
        <w:t>•</w:t>
      </w:r>
      <w:r>
        <w:rPr>
          <w:lang w:val="en-US"/>
        </w:rPr>
        <w:tab/>
        <w:t>Investment funds</w:t>
      </w:r>
    </w:p>
    <w:p w14:paraId="44D81B9B" w14:textId="77777777" w:rsidR="009E345A" w:rsidRPr="00C45EEC" w:rsidRDefault="009E345A" w:rsidP="009E345A">
      <w:pPr>
        <w:rPr>
          <w:lang w:val="en-US"/>
        </w:rPr>
      </w:pPr>
      <w:r w:rsidRPr="00C45EEC">
        <w:rPr>
          <w:lang w:val="en-US"/>
        </w:rPr>
        <w:t>•</w:t>
      </w:r>
      <w:r w:rsidRPr="00C45EEC">
        <w:rPr>
          <w:lang w:val="en-US"/>
        </w:rPr>
        <w:tab/>
      </w:r>
      <w:r>
        <w:rPr>
          <w:lang w:val="en-US"/>
        </w:rPr>
        <w:t>Other financial intermediaries</w:t>
      </w:r>
    </w:p>
    <w:p w14:paraId="31A7E745" w14:textId="77777777" w:rsidR="009E345A" w:rsidRPr="00C45EEC" w:rsidRDefault="009E345A" w:rsidP="009E345A">
      <w:pPr>
        <w:ind w:firstLine="709"/>
        <w:rPr>
          <w:lang w:val="en-US"/>
        </w:rPr>
      </w:pPr>
      <w:r w:rsidRPr="00C45EEC">
        <w:rPr>
          <w:lang w:val="en-US"/>
        </w:rPr>
        <w:t>-</w:t>
      </w:r>
      <w:r w:rsidRPr="00C45EEC">
        <w:rPr>
          <w:lang w:val="en-US"/>
        </w:rPr>
        <w:tab/>
      </w:r>
      <w:r>
        <w:rPr>
          <w:lang w:val="en-US"/>
        </w:rPr>
        <w:t>Financial vehicle corporations</w:t>
      </w:r>
    </w:p>
    <w:p w14:paraId="1160135E" w14:textId="77777777" w:rsidR="009E345A" w:rsidRPr="00C45EEC" w:rsidRDefault="009E345A" w:rsidP="009E345A">
      <w:pPr>
        <w:ind w:firstLine="709"/>
        <w:rPr>
          <w:lang w:val="en-US"/>
        </w:rPr>
      </w:pPr>
      <w:r>
        <w:rPr>
          <w:lang w:val="en-US"/>
        </w:rPr>
        <w:t>-</w:t>
      </w:r>
      <w:r>
        <w:rPr>
          <w:lang w:val="en-US"/>
        </w:rPr>
        <w:tab/>
        <w:t>Central counterparties (CCP)</w:t>
      </w:r>
    </w:p>
    <w:p w14:paraId="2DD3B3B3" w14:textId="77777777" w:rsidR="009E345A" w:rsidRPr="00C45EEC" w:rsidRDefault="009E345A" w:rsidP="009E345A">
      <w:pPr>
        <w:ind w:firstLine="709"/>
        <w:rPr>
          <w:lang w:val="en-US"/>
        </w:rPr>
      </w:pPr>
      <w:r w:rsidRPr="00C45EEC">
        <w:rPr>
          <w:lang w:val="en-US"/>
        </w:rPr>
        <w:t>-</w:t>
      </w:r>
      <w:r w:rsidRPr="00C45EEC">
        <w:rPr>
          <w:lang w:val="en-US"/>
        </w:rPr>
        <w:tab/>
        <w:t>Remaining</w:t>
      </w:r>
      <w:r>
        <w:rPr>
          <w:lang w:val="en-US"/>
        </w:rPr>
        <w:t xml:space="preserve"> other financial intermediaries</w:t>
      </w:r>
    </w:p>
    <w:p w14:paraId="2DA1967F" w14:textId="77777777" w:rsidR="009E345A" w:rsidRPr="00C45EEC" w:rsidRDefault="009E345A" w:rsidP="009E345A">
      <w:pPr>
        <w:rPr>
          <w:lang w:val="en-US"/>
        </w:rPr>
      </w:pPr>
      <w:r w:rsidRPr="00C45EEC">
        <w:rPr>
          <w:lang w:val="en-US"/>
        </w:rPr>
        <w:t>•</w:t>
      </w:r>
      <w:r w:rsidRPr="00C45EEC">
        <w:rPr>
          <w:lang w:val="en-US"/>
        </w:rPr>
        <w:tab/>
        <w:t>Financial auxiliaries</w:t>
      </w:r>
    </w:p>
    <w:p w14:paraId="2B175005" w14:textId="77777777" w:rsidR="009E345A" w:rsidRPr="00C45EEC" w:rsidRDefault="009E345A" w:rsidP="009E345A">
      <w:pPr>
        <w:rPr>
          <w:lang w:val="en-US"/>
        </w:rPr>
      </w:pPr>
      <w:r w:rsidRPr="00C45EEC">
        <w:rPr>
          <w:lang w:val="en-US"/>
        </w:rPr>
        <w:t>•</w:t>
      </w:r>
      <w:r w:rsidRPr="00C45EEC">
        <w:rPr>
          <w:lang w:val="en-US"/>
        </w:rPr>
        <w:tab/>
        <w:t>Captive financial institutions and money lenders</w:t>
      </w:r>
    </w:p>
    <w:p w14:paraId="3865870A" w14:textId="77777777" w:rsidR="009E345A" w:rsidRPr="009B4C9A" w:rsidRDefault="009E345A" w:rsidP="009E345A">
      <w:pPr>
        <w:rPr>
          <w:lang w:val="en-US"/>
        </w:rPr>
      </w:pPr>
    </w:p>
    <w:p w14:paraId="29FA5F74" w14:textId="77777777" w:rsidR="009E345A" w:rsidRDefault="009E345A" w:rsidP="009E345A">
      <w:pPr>
        <w:rPr>
          <w:lang w:val="en-US"/>
        </w:rPr>
      </w:pPr>
      <w:r>
        <w:rPr>
          <w:lang w:val="en-US"/>
        </w:rPr>
        <w:t xml:space="preserve">For Shares held an additional distinction is made for counterparties Central bank, Credit institutions within own group, Government and Non-financial public corporations. </w:t>
      </w:r>
    </w:p>
    <w:p w14:paraId="052CB04C" w14:textId="77777777" w:rsidR="00F102E8" w:rsidRDefault="00F102E8" w:rsidP="009E345A">
      <w:pPr>
        <w:rPr>
          <w:lang w:val="en-US"/>
        </w:rPr>
      </w:pPr>
    </w:p>
    <w:p w14:paraId="1E740E35" w14:textId="77777777" w:rsidR="00F102E8" w:rsidRPr="002C1265" w:rsidRDefault="00F102E8" w:rsidP="00F102E8">
      <w:pPr>
        <w:rPr>
          <w:color w:val="FF0000"/>
          <w:lang w:val="en-US"/>
        </w:rPr>
      </w:pPr>
      <w:r w:rsidRPr="002C1265">
        <w:rPr>
          <w:color w:val="FF0000"/>
          <w:lang w:val="en-US"/>
        </w:rPr>
        <w:t xml:space="preserve">New counterparty SIFs (Systemic Investment Firms) added to the form. </w:t>
      </w:r>
    </w:p>
    <w:p w14:paraId="6551BC60" w14:textId="77777777" w:rsidR="00F102E8" w:rsidRPr="009B4C9A" w:rsidRDefault="00F102E8" w:rsidP="009E345A">
      <w:pPr>
        <w:rPr>
          <w:lang w:val="en-US"/>
        </w:rPr>
      </w:pPr>
    </w:p>
    <w:p w14:paraId="0BB4A6C4" w14:textId="77777777" w:rsidR="009E345A" w:rsidRPr="00B37E8C" w:rsidRDefault="009E345A" w:rsidP="009E345A">
      <w:pPr>
        <w:rPr>
          <w:lang w:val="en-US"/>
        </w:rPr>
      </w:pPr>
    </w:p>
    <w:p w14:paraId="2C6E524B" w14:textId="77777777" w:rsidR="009E345A" w:rsidRDefault="009E345A" w:rsidP="009E345A">
      <w:pPr>
        <w:rPr>
          <w:b/>
          <w:lang w:val="en-US"/>
        </w:rPr>
      </w:pPr>
      <w:r>
        <w:rPr>
          <w:b/>
          <w:lang w:val="en-US"/>
        </w:rPr>
        <w:t>1.</w:t>
      </w:r>
      <w:r w:rsidR="00F102E8">
        <w:rPr>
          <w:b/>
          <w:lang w:val="en-US"/>
        </w:rPr>
        <w:t>4</w:t>
      </w:r>
      <w:r>
        <w:rPr>
          <w:b/>
          <w:lang w:val="en-US"/>
        </w:rPr>
        <w:t xml:space="preserve"> Form</w:t>
      </w:r>
      <w:r w:rsidRPr="009B4C9A">
        <w:rPr>
          <w:b/>
          <w:lang w:val="en-US"/>
        </w:rPr>
        <w:t xml:space="preserve"> </w:t>
      </w:r>
      <w:r w:rsidRPr="00D92401">
        <w:rPr>
          <w:b/>
          <w:lang w:val="en-US"/>
        </w:rPr>
        <w:t>T9001HK3 - Loans granted and deposits placed with over-coverage of real estate as collateral (LTV ratio &lt;= 1)</w:t>
      </w:r>
    </w:p>
    <w:p w14:paraId="1F57DDB7" w14:textId="77777777" w:rsidR="009E345A" w:rsidRPr="00C97327" w:rsidRDefault="009E345A" w:rsidP="009E345A">
      <w:pPr>
        <w:rPr>
          <w:lang w:val="en-US"/>
        </w:rPr>
      </w:pPr>
    </w:p>
    <w:p w14:paraId="08E1807D" w14:textId="77777777" w:rsidR="009E345A" w:rsidRDefault="009E345A" w:rsidP="009E345A">
      <w:pPr>
        <w:rPr>
          <w:lang w:val="en-US"/>
        </w:rPr>
      </w:pPr>
      <w:r w:rsidRPr="00D92401">
        <w:rPr>
          <w:lang w:val="en-US"/>
        </w:rPr>
        <w:t>Loans for house purchases, Loans for consumption (personal)</w:t>
      </w:r>
      <w:r>
        <w:rPr>
          <w:lang w:val="en-US"/>
        </w:rPr>
        <w:t xml:space="preserve"> and Other loans now have </w:t>
      </w:r>
      <w:r w:rsidRPr="006F3654">
        <w:rPr>
          <w:lang w:val="en-US"/>
        </w:rPr>
        <w:t>the following maturity breakdown:</w:t>
      </w:r>
    </w:p>
    <w:p w14:paraId="4E0AE811" w14:textId="77777777" w:rsidR="009E345A" w:rsidRDefault="009E345A" w:rsidP="009E345A">
      <w:pPr>
        <w:rPr>
          <w:lang w:val="en-US"/>
        </w:rPr>
      </w:pPr>
    </w:p>
    <w:p w14:paraId="1375B7E9" w14:textId="77777777" w:rsidR="009E345A" w:rsidRDefault="009E345A" w:rsidP="009E345A">
      <w:pPr>
        <w:rPr>
          <w:lang w:val="en-US"/>
        </w:rPr>
      </w:pPr>
      <w:r>
        <w:rPr>
          <w:lang w:val="en-US"/>
        </w:rPr>
        <w:t>•</w:t>
      </w:r>
      <w:r>
        <w:rPr>
          <w:lang w:val="en-US"/>
        </w:rPr>
        <w:tab/>
        <w:t>Maturity &lt;= 1 year</w:t>
      </w:r>
    </w:p>
    <w:p w14:paraId="261D100E" w14:textId="77777777" w:rsidR="009E345A" w:rsidRDefault="009E345A" w:rsidP="009E345A">
      <w:pPr>
        <w:rPr>
          <w:lang w:val="en-US"/>
        </w:rPr>
      </w:pPr>
      <w:r>
        <w:rPr>
          <w:lang w:val="en-US"/>
        </w:rPr>
        <w:t>•</w:t>
      </w:r>
      <w:r>
        <w:rPr>
          <w:lang w:val="en-US"/>
        </w:rPr>
        <w:tab/>
        <w:t>&gt; 1 year maturity &lt;= 2 year</w:t>
      </w:r>
    </w:p>
    <w:p w14:paraId="43FDBB95" w14:textId="77777777" w:rsidR="009E345A" w:rsidRDefault="009E345A" w:rsidP="009E345A">
      <w:pPr>
        <w:rPr>
          <w:lang w:val="en-US"/>
        </w:rPr>
      </w:pPr>
      <w:r>
        <w:rPr>
          <w:lang w:val="en-US"/>
        </w:rPr>
        <w:t>•</w:t>
      </w:r>
      <w:r>
        <w:rPr>
          <w:lang w:val="en-US"/>
        </w:rPr>
        <w:tab/>
        <w:t>&gt; 2 year maturity &lt;= 5 year</w:t>
      </w:r>
    </w:p>
    <w:p w14:paraId="78121C71" w14:textId="77777777" w:rsidR="009E345A" w:rsidRPr="00C45EEC" w:rsidRDefault="009E345A" w:rsidP="009E345A">
      <w:pPr>
        <w:rPr>
          <w:lang w:val="en-US"/>
        </w:rPr>
      </w:pPr>
      <w:r>
        <w:rPr>
          <w:lang w:val="en-US"/>
        </w:rPr>
        <w:t>•</w:t>
      </w:r>
      <w:r>
        <w:rPr>
          <w:lang w:val="en-US"/>
        </w:rPr>
        <w:tab/>
        <w:t>Maturity &gt; 5 year</w:t>
      </w:r>
    </w:p>
    <w:p w14:paraId="69DA08AB" w14:textId="77777777" w:rsidR="009E345A" w:rsidRDefault="009E345A" w:rsidP="009E345A">
      <w:pPr>
        <w:rPr>
          <w:lang w:val="en-US"/>
        </w:rPr>
      </w:pPr>
    </w:p>
    <w:p w14:paraId="6C8B7E6E" w14:textId="77777777" w:rsidR="00F102E8" w:rsidRPr="00F102E8" w:rsidRDefault="00F102E8" w:rsidP="009E345A">
      <w:pPr>
        <w:rPr>
          <w:color w:val="FF0000"/>
          <w:lang w:val="en-US"/>
        </w:rPr>
      </w:pPr>
      <w:r w:rsidRPr="00F102E8">
        <w:rPr>
          <w:color w:val="FF0000"/>
          <w:lang w:val="en-US"/>
        </w:rPr>
        <w:t>A Boolean is included for real estate collateral.</w:t>
      </w:r>
    </w:p>
    <w:p w14:paraId="4F95C688" w14:textId="77777777" w:rsidR="00F102E8" w:rsidRDefault="00F102E8" w:rsidP="009E345A">
      <w:pPr>
        <w:rPr>
          <w:lang w:val="en-US"/>
        </w:rPr>
      </w:pPr>
    </w:p>
    <w:p w14:paraId="3FEE3E9A" w14:textId="77777777" w:rsidR="009E345A" w:rsidRPr="00C47858" w:rsidRDefault="009E345A" w:rsidP="009E345A">
      <w:pPr>
        <w:rPr>
          <w:b/>
          <w:lang w:val="en-US"/>
        </w:rPr>
      </w:pPr>
      <w:r>
        <w:rPr>
          <w:b/>
          <w:lang w:val="en-US"/>
        </w:rPr>
        <w:t>1.</w:t>
      </w:r>
      <w:r w:rsidR="00F102E8">
        <w:rPr>
          <w:b/>
          <w:lang w:val="en-US"/>
        </w:rPr>
        <w:t>5</w:t>
      </w:r>
      <w:r>
        <w:rPr>
          <w:b/>
          <w:lang w:val="en-US"/>
        </w:rPr>
        <w:t xml:space="preserve"> Form </w:t>
      </w:r>
      <w:r w:rsidRPr="003C4D61">
        <w:rPr>
          <w:b/>
          <w:lang w:val="en-US"/>
        </w:rPr>
        <w:t>T9001HK6 - Total overview of the balance sheet items of Dutch MFIs</w:t>
      </w:r>
    </w:p>
    <w:p w14:paraId="31E462B4" w14:textId="77777777" w:rsidR="009E345A" w:rsidRDefault="009E345A" w:rsidP="009E345A">
      <w:pPr>
        <w:rPr>
          <w:lang w:val="en-US"/>
        </w:rPr>
      </w:pPr>
    </w:p>
    <w:p w14:paraId="21AB552E" w14:textId="77777777" w:rsidR="009E345A" w:rsidRDefault="009E345A" w:rsidP="009E345A">
      <w:pPr>
        <w:rPr>
          <w:lang w:val="en-US"/>
        </w:rPr>
      </w:pPr>
      <w:r w:rsidRPr="003C4D61">
        <w:rPr>
          <w:lang w:val="en-US"/>
        </w:rPr>
        <w:lastRenderedPageBreak/>
        <w:t xml:space="preserve">Non-financial assets (including fixed assets) </w:t>
      </w:r>
      <w:r>
        <w:rPr>
          <w:lang w:val="en-US"/>
        </w:rPr>
        <w:t>now has an additional breakdown to</w:t>
      </w:r>
      <w:r w:rsidRPr="003C4D61">
        <w:rPr>
          <w:lang w:val="en-US"/>
        </w:rPr>
        <w:t xml:space="preserve"> Real estate holdings. </w:t>
      </w:r>
    </w:p>
    <w:p w14:paraId="44EF8B9E" w14:textId="77777777" w:rsidR="009E345A" w:rsidRDefault="009E345A" w:rsidP="009E345A">
      <w:pPr>
        <w:rPr>
          <w:lang w:val="en-US"/>
        </w:rPr>
      </w:pPr>
    </w:p>
    <w:p w14:paraId="34CC184C" w14:textId="77777777" w:rsidR="009E345A" w:rsidRDefault="009E345A" w:rsidP="009E345A">
      <w:pPr>
        <w:rPr>
          <w:lang w:val="en-US"/>
        </w:rPr>
      </w:pPr>
      <w:r>
        <w:rPr>
          <w:lang w:val="en-US"/>
        </w:rPr>
        <w:t xml:space="preserve">Addition of instrument Holdings of own securities: </w:t>
      </w:r>
    </w:p>
    <w:p w14:paraId="14CCE4AB" w14:textId="77777777" w:rsidR="009E345A" w:rsidRDefault="009E345A" w:rsidP="009E345A">
      <w:pPr>
        <w:rPr>
          <w:lang w:val="en-US"/>
        </w:rPr>
      </w:pPr>
    </w:p>
    <w:p w14:paraId="136D2B6C" w14:textId="77777777" w:rsidR="009E345A" w:rsidRPr="00C45EEC" w:rsidRDefault="009E345A" w:rsidP="009E345A">
      <w:pPr>
        <w:rPr>
          <w:lang w:val="en-US"/>
        </w:rPr>
      </w:pPr>
      <w:r>
        <w:rPr>
          <w:lang w:val="en-US"/>
        </w:rPr>
        <w:t>•</w:t>
      </w:r>
      <w:r>
        <w:rPr>
          <w:lang w:val="en-US"/>
        </w:rPr>
        <w:tab/>
      </w:r>
      <w:r w:rsidRPr="003C4D61">
        <w:rPr>
          <w:rFonts w:hint="eastAsia"/>
          <w:lang w:val="en-US"/>
        </w:rPr>
        <w:t>Own holdings of debt securities (market value)</w:t>
      </w:r>
    </w:p>
    <w:p w14:paraId="5E2783A8" w14:textId="77777777" w:rsidR="009E345A" w:rsidRDefault="009E345A" w:rsidP="009E345A">
      <w:pPr>
        <w:rPr>
          <w:lang w:val="en-US"/>
        </w:rPr>
      </w:pPr>
      <w:r w:rsidRPr="00C45EEC">
        <w:rPr>
          <w:lang w:val="en-US"/>
        </w:rPr>
        <w:t>•</w:t>
      </w:r>
      <w:r w:rsidRPr="00C45EEC">
        <w:rPr>
          <w:lang w:val="en-US"/>
        </w:rPr>
        <w:tab/>
      </w:r>
      <w:r w:rsidRPr="003C4D61">
        <w:rPr>
          <w:rFonts w:hint="eastAsia"/>
          <w:lang w:val="en-US"/>
        </w:rPr>
        <w:t>Own holdings of equity issued (market value)</w:t>
      </w:r>
    </w:p>
    <w:p w14:paraId="2CF2B16E" w14:textId="77777777" w:rsidR="009E345A" w:rsidRDefault="009E345A" w:rsidP="009E345A">
      <w:pPr>
        <w:rPr>
          <w:b/>
          <w:lang w:val="en-US"/>
        </w:rPr>
      </w:pPr>
    </w:p>
    <w:p w14:paraId="758D83ED" w14:textId="77777777" w:rsidR="009E345A" w:rsidRDefault="009E345A" w:rsidP="009E345A">
      <w:pPr>
        <w:rPr>
          <w:b/>
          <w:lang w:val="en-US"/>
        </w:rPr>
      </w:pPr>
      <w:r>
        <w:rPr>
          <w:b/>
          <w:lang w:val="en-US"/>
        </w:rPr>
        <w:t>1.</w:t>
      </w:r>
      <w:r w:rsidR="00F102E8">
        <w:rPr>
          <w:b/>
          <w:lang w:val="en-US"/>
        </w:rPr>
        <w:t>6</w:t>
      </w:r>
      <w:r>
        <w:rPr>
          <w:b/>
          <w:lang w:val="en-US"/>
        </w:rPr>
        <w:t xml:space="preserve"> Form </w:t>
      </w:r>
      <w:r w:rsidRPr="00A358A7">
        <w:rPr>
          <w:b/>
          <w:lang w:val="en-US"/>
        </w:rPr>
        <w:t>T9007HK1 - Write-downs and other price revaluations, additional information for sector MFIs, government and private sector</w:t>
      </w:r>
    </w:p>
    <w:p w14:paraId="510B196D" w14:textId="77777777" w:rsidR="009E345A" w:rsidRDefault="009E345A" w:rsidP="009E345A">
      <w:pPr>
        <w:rPr>
          <w:lang w:val="en-US"/>
        </w:rPr>
      </w:pPr>
    </w:p>
    <w:p w14:paraId="31DB4E07" w14:textId="77777777" w:rsidR="009E345A" w:rsidRPr="000A1ECD" w:rsidRDefault="009E345A" w:rsidP="009E345A">
      <w:pPr>
        <w:rPr>
          <w:lang w:val="en-US"/>
        </w:rPr>
      </w:pPr>
      <w:r w:rsidRPr="000A1ECD">
        <w:rPr>
          <w:lang w:val="en-US"/>
        </w:rPr>
        <w:t xml:space="preserve">Counterparty MFIs </w:t>
      </w:r>
      <w:r w:rsidRPr="00E42364">
        <w:rPr>
          <w:lang w:val="en-US"/>
        </w:rPr>
        <w:t>now has the following sector</w:t>
      </w:r>
      <w:r>
        <w:rPr>
          <w:lang w:val="en-US"/>
        </w:rPr>
        <w:t>al</w:t>
      </w:r>
      <w:r w:rsidRPr="00E42364">
        <w:rPr>
          <w:lang w:val="en-US"/>
        </w:rPr>
        <w:t xml:space="preserve"> breakdown:</w:t>
      </w:r>
      <w:r w:rsidRPr="000A1ECD">
        <w:rPr>
          <w:lang w:val="en-US"/>
        </w:rPr>
        <w:t xml:space="preserve"> </w:t>
      </w:r>
    </w:p>
    <w:p w14:paraId="454D3DCE" w14:textId="77777777" w:rsidR="009E345A" w:rsidRPr="000A1ECD" w:rsidRDefault="009E345A" w:rsidP="009E345A">
      <w:pPr>
        <w:rPr>
          <w:lang w:val="en-US"/>
        </w:rPr>
      </w:pPr>
    </w:p>
    <w:p w14:paraId="3F48EAD1" w14:textId="77777777" w:rsidR="009E345A" w:rsidRPr="00C45EEC" w:rsidRDefault="009E345A" w:rsidP="009E345A">
      <w:pPr>
        <w:rPr>
          <w:lang w:val="en-US"/>
        </w:rPr>
      </w:pPr>
      <w:r>
        <w:rPr>
          <w:lang w:val="en-US"/>
        </w:rPr>
        <w:t>•</w:t>
      </w:r>
      <w:r>
        <w:rPr>
          <w:lang w:val="en-US"/>
        </w:rPr>
        <w:tab/>
        <w:t>Central bank</w:t>
      </w:r>
    </w:p>
    <w:p w14:paraId="6B652BBD" w14:textId="77777777" w:rsidR="009E345A" w:rsidRPr="00C45EEC" w:rsidRDefault="009E345A" w:rsidP="009E345A">
      <w:pPr>
        <w:rPr>
          <w:lang w:val="en-US"/>
        </w:rPr>
      </w:pPr>
      <w:r w:rsidRPr="00C45EEC">
        <w:rPr>
          <w:lang w:val="en-US"/>
        </w:rPr>
        <w:t>•</w:t>
      </w:r>
      <w:r w:rsidRPr="00C45EEC">
        <w:rPr>
          <w:lang w:val="en-US"/>
        </w:rPr>
        <w:tab/>
      </w:r>
      <w:r>
        <w:rPr>
          <w:lang w:val="en-US"/>
        </w:rPr>
        <w:t>Deposit-taking corporations</w:t>
      </w:r>
    </w:p>
    <w:p w14:paraId="234BED5E" w14:textId="77777777" w:rsidR="009E345A" w:rsidRPr="00C45EEC" w:rsidRDefault="009E345A" w:rsidP="009E345A">
      <w:pPr>
        <w:ind w:firstLine="709"/>
        <w:rPr>
          <w:lang w:val="en-US"/>
        </w:rPr>
      </w:pPr>
      <w:r w:rsidRPr="00C45EEC">
        <w:rPr>
          <w:lang w:val="en-US"/>
        </w:rPr>
        <w:t>-</w:t>
      </w:r>
      <w:r w:rsidRPr="00C45EEC">
        <w:rPr>
          <w:lang w:val="en-US"/>
        </w:rPr>
        <w:tab/>
      </w:r>
      <w:r>
        <w:rPr>
          <w:lang w:val="en-US"/>
        </w:rPr>
        <w:t>Credit institutions within own group</w:t>
      </w:r>
    </w:p>
    <w:p w14:paraId="32DE04CB" w14:textId="77777777" w:rsidR="009E345A" w:rsidRPr="00C45EEC" w:rsidRDefault="009E345A" w:rsidP="009E345A">
      <w:pPr>
        <w:ind w:firstLine="709"/>
        <w:rPr>
          <w:lang w:val="en-US"/>
        </w:rPr>
      </w:pPr>
      <w:r>
        <w:rPr>
          <w:lang w:val="en-US"/>
        </w:rPr>
        <w:t>-</w:t>
      </w:r>
      <w:r>
        <w:rPr>
          <w:lang w:val="en-US"/>
        </w:rPr>
        <w:tab/>
        <w:t>Credit institutions outside own group</w:t>
      </w:r>
    </w:p>
    <w:p w14:paraId="0A6AAAD4" w14:textId="77777777" w:rsidR="009E345A" w:rsidRPr="00C45EEC" w:rsidRDefault="009E345A" w:rsidP="009E345A">
      <w:pPr>
        <w:ind w:firstLine="709"/>
        <w:rPr>
          <w:lang w:val="en-US"/>
        </w:rPr>
      </w:pPr>
      <w:r w:rsidRPr="00C45EEC">
        <w:rPr>
          <w:lang w:val="en-US"/>
        </w:rPr>
        <w:t>-</w:t>
      </w:r>
      <w:r w:rsidRPr="00C45EEC">
        <w:rPr>
          <w:lang w:val="en-US"/>
        </w:rPr>
        <w:tab/>
      </w:r>
      <w:r w:rsidRPr="009B4C9A">
        <w:rPr>
          <w:lang w:val="en-US"/>
        </w:rPr>
        <w:t>Deposit-taking corporations other than credit institutions</w:t>
      </w:r>
    </w:p>
    <w:p w14:paraId="39283AA4" w14:textId="77777777" w:rsidR="009E345A" w:rsidRPr="00C45EEC" w:rsidRDefault="009E345A" w:rsidP="009E345A">
      <w:pPr>
        <w:rPr>
          <w:lang w:val="en-US"/>
        </w:rPr>
      </w:pPr>
      <w:r w:rsidRPr="00C45EEC">
        <w:rPr>
          <w:lang w:val="en-US"/>
        </w:rPr>
        <w:t>•</w:t>
      </w:r>
      <w:r w:rsidRPr="00C45EEC">
        <w:rPr>
          <w:lang w:val="en-US"/>
        </w:rPr>
        <w:tab/>
      </w:r>
      <w:r>
        <w:rPr>
          <w:lang w:val="en-US"/>
        </w:rPr>
        <w:t>Money market funds</w:t>
      </w:r>
    </w:p>
    <w:p w14:paraId="575E852F" w14:textId="77777777" w:rsidR="009E345A" w:rsidRPr="00D6675A" w:rsidRDefault="009E345A" w:rsidP="009E345A">
      <w:pPr>
        <w:rPr>
          <w:lang w:val="en-US"/>
        </w:rPr>
      </w:pPr>
    </w:p>
    <w:p w14:paraId="60285395" w14:textId="77777777" w:rsidR="009E345A" w:rsidRPr="00E42364" w:rsidRDefault="009E345A" w:rsidP="009E345A">
      <w:pPr>
        <w:rPr>
          <w:lang w:val="en-US"/>
        </w:rPr>
      </w:pPr>
      <w:r>
        <w:rPr>
          <w:lang w:val="en-US"/>
        </w:rPr>
        <w:t xml:space="preserve">Counterparty </w:t>
      </w:r>
      <w:r w:rsidRPr="00E42364">
        <w:rPr>
          <w:lang w:val="en-US"/>
        </w:rPr>
        <w:t>Other financial institutions (‘OFIs’) now has the following sector</w:t>
      </w:r>
      <w:r>
        <w:rPr>
          <w:lang w:val="en-US"/>
        </w:rPr>
        <w:t>al</w:t>
      </w:r>
      <w:r w:rsidRPr="00E42364">
        <w:rPr>
          <w:lang w:val="en-US"/>
        </w:rPr>
        <w:t xml:space="preserve"> breakdown: </w:t>
      </w:r>
    </w:p>
    <w:p w14:paraId="061B7078" w14:textId="77777777" w:rsidR="009E345A" w:rsidRPr="00E42364" w:rsidRDefault="009E345A" w:rsidP="009E345A">
      <w:pPr>
        <w:rPr>
          <w:lang w:val="en-US"/>
        </w:rPr>
      </w:pPr>
    </w:p>
    <w:p w14:paraId="65B6704D" w14:textId="77777777" w:rsidR="009E345A" w:rsidRPr="00C45EEC" w:rsidRDefault="009E345A" w:rsidP="009E345A">
      <w:pPr>
        <w:rPr>
          <w:lang w:val="en-US"/>
        </w:rPr>
      </w:pPr>
      <w:r>
        <w:rPr>
          <w:lang w:val="en-US"/>
        </w:rPr>
        <w:t>•</w:t>
      </w:r>
      <w:r>
        <w:rPr>
          <w:lang w:val="en-US"/>
        </w:rPr>
        <w:tab/>
        <w:t>Investment funds</w:t>
      </w:r>
    </w:p>
    <w:p w14:paraId="22FF2978" w14:textId="77777777" w:rsidR="009E345A" w:rsidRPr="00C45EEC" w:rsidRDefault="009E345A" w:rsidP="009E345A">
      <w:pPr>
        <w:rPr>
          <w:lang w:val="en-US"/>
        </w:rPr>
      </w:pPr>
      <w:r w:rsidRPr="00C45EEC">
        <w:rPr>
          <w:lang w:val="en-US"/>
        </w:rPr>
        <w:t>•</w:t>
      </w:r>
      <w:r w:rsidRPr="00C45EEC">
        <w:rPr>
          <w:lang w:val="en-US"/>
        </w:rPr>
        <w:tab/>
      </w:r>
      <w:r>
        <w:rPr>
          <w:lang w:val="en-US"/>
        </w:rPr>
        <w:t>Other financial intermediaries</w:t>
      </w:r>
    </w:p>
    <w:p w14:paraId="31E69EDC" w14:textId="77777777" w:rsidR="009E345A" w:rsidRPr="00C45EEC" w:rsidRDefault="009E345A" w:rsidP="009E345A">
      <w:pPr>
        <w:ind w:firstLine="709"/>
        <w:rPr>
          <w:lang w:val="en-US"/>
        </w:rPr>
      </w:pPr>
      <w:r w:rsidRPr="00C45EEC">
        <w:rPr>
          <w:lang w:val="en-US"/>
        </w:rPr>
        <w:t>-</w:t>
      </w:r>
      <w:r w:rsidRPr="00C45EEC">
        <w:rPr>
          <w:lang w:val="en-US"/>
        </w:rPr>
        <w:tab/>
      </w:r>
      <w:r>
        <w:rPr>
          <w:lang w:val="en-US"/>
        </w:rPr>
        <w:t>Financial vehicle corporations</w:t>
      </w:r>
    </w:p>
    <w:p w14:paraId="77693596" w14:textId="77777777" w:rsidR="009E345A" w:rsidRPr="00C45EEC" w:rsidRDefault="009E345A" w:rsidP="009E345A">
      <w:pPr>
        <w:ind w:firstLine="709"/>
        <w:rPr>
          <w:lang w:val="en-US"/>
        </w:rPr>
      </w:pPr>
      <w:r>
        <w:rPr>
          <w:lang w:val="en-US"/>
        </w:rPr>
        <w:t>-</w:t>
      </w:r>
      <w:r>
        <w:rPr>
          <w:lang w:val="en-US"/>
        </w:rPr>
        <w:tab/>
        <w:t>Central counterparties (CCP)</w:t>
      </w:r>
    </w:p>
    <w:p w14:paraId="1A39A944" w14:textId="77777777" w:rsidR="009E345A" w:rsidRPr="00C45EEC" w:rsidRDefault="009E345A" w:rsidP="009E345A">
      <w:pPr>
        <w:ind w:firstLine="709"/>
        <w:rPr>
          <w:lang w:val="en-US"/>
        </w:rPr>
      </w:pPr>
      <w:r w:rsidRPr="00C45EEC">
        <w:rPr>
          <w:lang w:val="en-US"/>
        </w:rPr>
        <w:t>-</w:t>
      </w:r>
      <w:r w:rsidRPr="00C45EEC">
        <w:rPr>
          <w:lang w:val="en-US"/>
        </w:rPr>
        <w:tab/>
        <w:t>Remaining</w:t>
      </w:r>
      <w:r>
        <w:rPr>
          <w:lang w:val="en-US"/>
        </w:rPr>
        <w:t xml:space="preserve"> other financial intermediaries</w:t>
      </w:r>
    </w:p>
    <w:p w14:paraId="311F4D3A" w14:textId="77777777" w:rsidR="009E345A" w:rsidRPr="00C45EEC" w:rsidRDefault="009E345A" w:rsidP="009E345A">
      <w:pPr>
        <w:rPr>
          <w:lang w:val="en-US"/>
        </w:rPr>
      </w:pPr>
      <w:r w:rsidRPr="00C45EEC">
        <w:rPr>
          <w:lang w:val="en-US"/>
        </w:rPr>
        <w:t>•</w:t>
      </w:r>
      <w:r w:rsidRPr="00C45EEC">
        <w:rPr>
          <w:lang w:val="en-US"/>
        </w:rPr>
        <w:tab/>
        <w:t>Financial auxiliaries</w:t>
      </w:r>
    </w:p>
    <w:p w14:paraId="18E27467" w14:textId="77777777" w:rsidR="009E345A" w:rsidRPr="00C45EEC" w:rsidRDefault="009E345A" w:rsidP="009E345A">
      <w:pPr>
        <w:rPr>
          <w:lang w:val="en-US"/>
        </w:rPr>
      </w:pPr>
      <w:r w:rsidRPr="00C45EEC">
        <w:rPr>
          <w:lang w:val="en-US"/>
        </w:rPr>
        <w:t>•</w:t>
      </w:r>
      <w:r w:rsidRPr="00C45EEC">
        <w:rPr>
          <w:lang w:val="en-US"/>
        </w:rPr>
        <w:tab/>
        <w:t>Captive financial institutions and money lenders</w:t>
      </w:r>
    </w:p>
    <w:p w14:paraId="42984E16" w14:textId="77777777" w:rsidR="009E345A" w:rsidRDefault="009E345A" w:rsidP="009E345A">
      <w:pPr>
        <w:rPr>
          <w:lang w:val="en-US"/>
        </w:rPr>
      </w:pPr>
    </w:p>
    <w:p w14:paraId="67F88472" w14:textId="77777777" w:rsidR="009E345A" w:rsidRPr="000A1ECD" w:rsidRDefault="009E345A" w:rsidP="009E345A">
      <w:pPr>
        <w:rPr>
          <w:lang w:val="en-US"/>
        </w:rPr>
      </w:pPr>
      <w:r w:rsidRPr="000A1ECD">
        <w:rPr>
          <w:lang w:val="en-US"/>
        </w:rPr>
        <w:t xml:space="preserve">Shares held </w:t>
      </w:r>
      <w:r>
        <w:rPr>
          <w:lang w:val="en-US"/>
        </w:rPr>
        <w:t>are broken down</w:t>
      </w:r>
      <w:r w:rsidRPr="000A1ECD">
        <w:rPr>
          <w:lang w:val="en-US"/>
        </w:rPr>
        <w:t xml:space="preserve"> to Listed </w:t>
      </w:r>
      <w:r>
        <w:rPr>
          <w:lang w:val="en-US"/>
        </w:rPr>
        <w:t>and</w:t>
      </w:r>
      <w:r w:rsidRPr="000A1ECD">
        <w:rPr>
          <w:lang w:val="en-US"/>
        </w:rPr>
        <w:t xml:space="preserve"> Non-listed, </w:t>
      </w:r>
      <w:r>
        <w:rPr>
          <w:lang w:val="en-US"/>
        </w:rPr>
        <w:t>with additional counterparty distinctions.</w:t>
      </w:r>
    </w:p>
    <w:p w14:paraId="43FDFD2E" w14:textId="77777777" w:rsidR="009E345A" w:rsidRPr="000A1ECD" w:rsidRDefault="009E345A" w:rsidP="009E345A">
      <w:pPr>
        <w:rPr>
          <w:lang w:val="en-US"/>
        </w:rPr>
      </w:pPr>
    </w:p>
    <w:p w14:paraId="01E6998B" w14:textId="77777777" w:rsidR="009E345A" w:rsidRPr="000A1ECD" w:rsidRDefault="009E345A" w:rsidP="009E345A">
      <w:pPr>
        <w:rPr>
          <w:lang w:val="en-US"/>
        </w:rPr>
      </w:pPr>
      <w:r w:rsidRPr="000A1ECD">
        <w:rPr>
          <w:lang w:val="en-US"/>
        </w:rPr>
        <w:t>Addition of instrument Shares/units</w:t>
      </w:r>
      <w:r>
        <w:rPr>
          <w:lang w:val="en-US"/>
        </w:rPr>
        <w:t>.</w:t>
      </w:r>
      <w:r w:rsidRPr="000A1ECD">
        <w:rPr>
          <w:lang w:val="en-US"/>
        </w:rPr>
        <w:t xml:space="preserve"> </w:t>
      </w:r>
    </w:p>
    <w:p w14:paraId="069D1615" w14:textId="77777777" w:rsidR="009E345A" w:rsidRPr="000A1ECD" w:rsidRDefault="009E345A" w:rsidP="009E345A">
      <w:pPr>
        <w:rPr>
          <w:lang w:val="en-US"/>
        </w:rPr>
      </w:pPr>
    </w:p>
    <w:p w14:paraId="5364DA07" w14:textId="77777777" w:rsidR="009E345A" w:rsidRPr="006F3654" w:rsidRDefault="009E345A" w:rsidP="009E345A">
      <w:pPr>
        <w:rPr>
          <w:lang w:val="en-US"/>
        </w:rPr>
      </w:pPr>
      <w:r w:rsidRPr="006F3654">
        <w:rPr>
          <w:lang w:val="en-US"/>
        </w:rPr>
        <w:t>Lo</w:t>
      </w:r>
      <w:r>
        <w:rPr>
          <w:lang w:val="en-US"/>
        </w:rPr>
        <w:t>ans granted and deposits placed</w:t>
      </w:r>
      <w:r w:rsidRPr="006F3654">
        <w:rPr>
          <w:lang w:val="en-US"/>
        </w:rPr>
        <w:t xml:space="preserve"> now has the following maturity breakdown: </w:t>
      </w:r>
    </w:p>
    <w:p w14:paraId="5F0D2A6E" w14:textId="77777777" w:rsidR="009E345A" w:rsidRPr="006F3654" w:rsidRDefault="009E345A" w:rsidP="009E345A">
      <w:pPr>
        <w:rPr>
          <w:lang w:val="en-US"/>
        </w:rPr>
      </w:pPr>
    </w:p>
    <w:p w14:paraId="17219E19" w14:textId="77777777" w:rsidR="009E345A" w:rsidRDefault="009E345A" w:rsidP="009E345A">
      <w:pPr>
        <w:rPr>
          <w:lang w:val="en-US"/>
        </w:rPr>
      </w:pPr>
      <w:r>
        <w:rPr>
          <w:lang w:val="en-US"/>
        </w:rPr>
        <w:t>•</w:t>
      </w:r>
      <w:r>
        <w:rPr>
          <w:lang w:val="en-US"/>
        </w:rPr>
        <w:tab/>
        <w:t>Maturity &lt;= 1 year</w:t>
      </w:r>
    </w:p>
    <w:p w14:paraId="7FBADA47" w14:textId="77777777" w:rsidR="009E345A" w:rsidRDefault="009E345A" w:rsidP="009E345A">
      <w:pPr>
        <w:rPr>
          <w:lang w:val="en-US"/>
        </w:rPr>
      </w:pPr>
      <w:r>
        <w:rPr>
          <w:lang w:val="en-US"/>
        </w:rPr>
        <w:t>•</w:t>
      </w:r>
      <w:r>
        <w:rPr>
          <w:lang w:val="en-US"/>
        </w:rPr>
        <w:tab/>
        <w:t>&gt; 1 year maturity &lt;= 2 year</w:t>
      </w:r>
    </w:p>
    <w:p w14:paraId="3E54D4A6" w14:textId="77777777" w:rsidR="009E345A" w:rsidRDefault="009E345A" w:rsidP="009E345A">
      <w:pPr>
        <w:rPr>
          <w:lang w:val="en-US"/>
        </w:rPr>
      </w:pPr>
      <w:r>
        <w:rPr>
          <w:lang w:val="en-US"/>
        </w:rPr>
        <w:t>•</w:t>
      </w:r>
      <w:r>
        <w:rPr>
          <w:lang w:val="en-US"/>
        </w:rPr>
        <w:tab/>
        <w:t>&gt; 2 year maturity &lt;= 5 year</w:t>
      </w:r>
    </w:p>
    <w:p w14:paraId="576EABB6" w14:textId="77777777" w:rsidR="009E345A" w:rsidRDefault="009E345A" w:rsidP="009E345A">
      <w:pPr>
        <w:rPr>
          <w:lang w:val="en-US"/>
        </w:rPr>
      </w:pPr>
      <w:r w:rsidRPr="00B37E8C">
        <w:rPr>
          <w:lang w:val="en-US"/>
        </w:rPr>
        <w:t>•</w:t>
      </w:r>
      <w:r w:rsidRPr="00B37E8C">
        <w:rPr>
          <w:lang w:val="en-US"/>
        </w:rPr>
        <w:tab/>
        <w:t>Maturity &gt; 5 year</w:t>
      </w:r>
    </w:p>
    <w:p w14:paraId="4BBE42ED" w14:textId="77777777" w:rsidR="009E345A" w:rsidRPr="00D6675A" w:rsidRDefault="009E345A" w:rsidP="009E345A">
      <w:pPr>
        <w:rPr>
          <w:lang w:val="en-US"/>
        </w:rPr>
      </w:pPr>
    </w:p>
    <w:p w14:paraId="5D1A67D2" w14:textId="77777777" w:rsidR="009E345A" w:rsidRPr="0017184B" w:rsidRDefault="009E345A" w:rsidP="009E345A">
      <w:pPr>
        <w:rPr>
          <w:lang w:val="en-US"/>
        </w:rPr>
      </w:pPr>
      <w:r w:rsidRPr="0017184B">
        <w:rPr>
          <w:lang w:val="en-US"/>
        </w:rPr>
        <w:t>Loans granted and deposits placed (some ‘of which’ positions)</w:t>
      </w:r>
      <w:r>
        <w:rPr>
          <w:lang w:val="en-US"/>
        </w:rPr>
        <w:t xml:space="preserve"> now</w:t>
      </w:r>
      <w:r w:rsidRPr="0017184B">
        <w:rPr>
          <w:lang w:val="en-US"/>
        </w:rPr>
        <w:t xml:space="preserve"> </w:t>
      </w:r>
      <w:r>
        <w:rPr>
          <w:lang w:val="en-US"/>
        </w:rPr>
        <w:t>has an additional breakdown to Notional cash pooling</w:t>
      </w:r>
      <w:r w:rsidRPr="0017184B">
        <w:rPr>
          <w:lang w:val="en-US"/>
        </w:rPr>
        <w:t xml:space="preserve">: </w:t>
      </w:r>
    </w:p>
    <w:p w14:paraId="590DC871" w14:textId="77777777" w:rsidR="009E345A" w:rsidRDefault="009E345A" w:rsidP="009E345A">
      <w:pPr>
        <w:rPr>
          <w:lang w:val="en-US"/>
        </w:rPr>
      </w:pPr>
    </w:p>
    <w:p w14:paraId="00CF7923" w14:textId="77777777" w:rsidR="009E345A" w:rsidRPr="00C45EEC" w:rsidRDefault="009E345A" w:rsidP="009E345A">
      <w:pPr>
        <w:rPr>
          <w:lang w:val="en-US"/>
        </w:rPr>
      </w:pPr>
      <w:r w:rsidRPr="00C45EEC">
        <w:rPr>
          <w:lang w:val="en-US"/>
        </w:rPr>
        <w:t>•</w:t>
      </w:r>
      <w:r w:rsidRPr="00C45EEC">
        <w:rPr>
          <w:lang w:val="en-US"/>
        </w:rPr>
        <w:tab/>
      </w:r>
      <w:r>
        <w:rPr>
          <w:lang w:val="en-US"/>
        </w:rPr>
        <w:t>Of which: notional cash pooling</w:t>
      </w:r>
    </w:p>
    <w:p w14:paraId="3266DE46" w14:textId="77777777" w:rsidR="009E345A" w:rsidRPr="00C45EEC" w:rsidRDefault="009E345A" w:rsidP="009E345A">
      <w:pPr>
        <w:ind w:firstLine="709"/>
        <w:rPr>
          <w:lang w:val="en-US"/>
        </w:rPr>
      </w:pPr>
      <w:r w:rsidRPr="00C45EEC">
        <w:rPr>
          <w:lang w:val="en-US"/>
        </w:rPr>
        <w:t>-</w:t>
      </w:r>
      <w:r w:rsidRPr="00C45EEC">
        <w:rPr>
          <w:lang w:val="en-US"/>
        </w:rPr>
        <w:tab/>
      </w:r>
      <w:r>
        <w:rPr>
          <w:lang w:val="en-US"/>
        </w:rPr>
        <w:t>Of which in: euro</w:t>
      </w:r>
    </w:p>
    <w:p w14:paraId="2F6A03DD" w14:textId="77777777" w:rsidR="009E345A" w:rsidRPr="00C45EEC" w:rsidRDefault="009E345A" w:rsidP="009E345A">
      <w:pPr>
        <w:ind w:firstLine="709"/>
        <w:rPr>
          <w:lang w:val="en-US"/>
        </w:rPr>
      </w:pPr>
      <w:r>
        <w:rPr>
          <w:lang w:val="en-US"/>
        </w:rPr>
        <w:t>-</w:t>
      </w:r>
      <w:r>
        <w:rPr>
          <w:lang w:val="en-US"/>
        </w:rPr>
        <w:tab/>
        <w:t>Of which in: US dollars</w:t>
      </w:r>
    </w:p>
    <w:p w14:paraId="112311DD" w14:textId="77777777" w:rsidR="009E345A" w:rsidRDefault="009E345A" w:rsidP="009E345A">
      <w:pPr>
        <w:rPr>
          <w:lang w:val="en-US"/>
        </w:rPr>
      </w:pPr>
    </w:p>
    <w:p w14:paraId="0970FB95" w14:textId="2018A391" w:rsidR="00F102E8" w:rsidRDefault="00F102E8" w:rsidP="00F102E8">
      <w:pPr>
        <w:rPr>
          <w:color w:val="FF0000"/>
          <w:lang w:val="en-US"/>
        </w:rPr>
      </w:pPr>
      <w:r w:rsidRPr="002C1265">
        <w:rPr>
          <w:color w:val="FF0000"/>
          <w:lang w:val="en-US"/>
        </w:rPr>
        <w:t xml:space="preserve">New counterparty SIFs (Systemic Investment Firms) added to the form. </w:t>
      </w:r>
    </w:p>
    <w:p w14:paraId="6C47C4FE" w14:textId="185D43E1" w:rsidR="007B5D18" w:rsidRDefault="007B5D18" w:rsidP="00F102E8">
      <w:pPr>
        <w:rPr>
          <w:color w:val="FF0000"/>
          <w:lang w:val="en-US"/>
        </w:rPr>
      </w:pPr>
    </w:p>
    <w:p w14:paraId="4D01CF1A" w14:textId="5972F368" w:rsidR="007B5D18" w:rsidRDefault="007B5D18" w:rsidP="00F102E8">
      <w:pPr>
        <w:rPr>
          <w:color w:val="FF0000"/>
          <w:lang w:val="en-US"/>
        </w:rPr>
      </w:pPr>
    </w:p>
    <w:p w14:paraId="29F0CA41" w14:textId="158BE18E" w:rsidR="007B5D18" w:rsidRDefault="007B5D18" w:rsidP="00F102E8">
      <w:pPr>
        <w:rPr>
          <w:color w:val="FF0000"/>
          <w:lang w:val="en-US"/>
        </w:rPr>
      </w:pPr>
    </w:p>
    <w:p w14:paraId="3258B212" w14:textId="77777777" w:rsidR="007B5D18" w:rsidRPr="002C1265" w:rsidRDefault="007B5D18" w:rsidP="00F102E8">
      <w:pPr>
        <w:rPr>
          <w:color w:val="FF0000"/>
          <w:lang w:val="en-US"/>
        </w:rPr>
      </w:pPr>
    </w:p>
    <w:p w14:paraId="4E702602" w14:textId="77777777" w:rsidR="00F102E8" w:rsidRPr="00F102E8" w:rsidRDefault="00F102E8" w:rsidP="009E345A">
      <w:pPr>
        <w:rPr>
          <w:b/>
          <w:color w:val="FF0000"/>
          <w:lang w:val="en-US"/>
        </w:rPr>
      </w:pPr>
      <w:r w:rsidRPr="00F102E8">
        <w:rPr>
          <w:b/>
          <w:color w:val="FF0000"/>
          <w:lang w:val="en-US"/>
        </w:rPr>
        <w:t>1.7 Form T9007HK2 - Price revaluations for loans granted with over-coverage of real estate as collateral (LTV ratio &lt;= 1)</w:t>
      </w:r>
    </w:p>
    <w:p w14:paraId="3F6EF6A0" w14:textId="77777777" w:rsidR="00F102E8" w:rsidRDefault="00F102E8" w:rsidP="009E345A">
      <w:pPr>
        <w:rPr>
          <w:b/>
          <w:lang w:val="en-US"/>
        </w:rPr>
      </w:pPr>
    </w:p>
    <w:p w14:paraId="1EF83CD5" w14:textId="77777777" w:rsidR="00F102E8" w:rsidRPr="00F102E8" w:rsidRDefault="00F102E8" w:rsidP="009E345A">
      <w:pPr>
        <w:rPr>
          <w:color w:val="FF0000"/>
          <w:lang w:val="en-US"/>
        </w:rPr>
      </w:pPr>
      <w:r w:rsidRPr="00F102E8">
        <w:rPr>
          <w:color w:val="FF0000"/>
          <w:lang w:val="en-US"/>
        </w:rPr>
        <w:t>Adjustment in the naming of the form (old naming: Price revaluations for loans granted with real estate collateral, additional information for sector Non-financial corporations and Households).</w:t>
      </w:r>
    </w:p>
    <w:p w14:paraId="34426FA7" w14:textId="77777777" w:rsidR="00F102E8" w:rsidRPr="00F102E8" w:rsidRDefault="00F102E8" w:rsidP="009E345A">
      <w:pPr>
        <w:rPr>
          <w:color w:val="FF0000"/>
          <w:lang w:val="en-US"/>
        </w:rPr>
      </w:pPr>
    </w:p>
    <w:p w14:paraId="73C21CF3" w14:textId="77777777" w:rsidR="00F102E8" w:rsidRPr="00F102E8" w:rsidRDefault="00F102E8" w:rsidP="009E345A">
      <w:pPr>
        <w:rPr>
          <w:color w:val="FF0000"/>
          <w:lang w:val="en-US"/>
        </w:rPr>
      </w:pPr>
      <w:r w:rsidRPr="00F102E8">
        <w:rPr>
          <w:color w:val="FF0000"/>
          <w:lang w:val="en-US"/>
        </w:rPr>
        <w:t xml:space="preserve">In addition a </w:t>
      </w:r>
      <w:proofErr w:type="spellStart"/>
      <w:r w:rsidRPr="00F102E8">
        <w:rPr>
          <w:color w:val="FF0000"/>
          <w:lang w:val="en-US"/>
        </w:rPr>
        <w:t>boolean</w:t>
      </w:r>
      <w:proofErr w:type="spellEnd"/>
      <w:r w:rsidRPr="00F102E8">
        <w:rPr>
          <w:color w:val="FF0000"/>
          <w:lang w:val="en-US"/>
        </w:rPr>
        <w:t xml:space="preserve"> is added for LTV in the conceptual framework of the form.</w:t>
      </w:r>
    </w:p>
    <w:p w14:paraId="78DD9AD3" w14:textId="77777777" w:rsidR="00F102E8" w:rsidRPr="00F102E8" w:rsidRDefault="00F102E8" w:rsidP="009E345A">
      <w:pPr>
        <w:rPr>
          <w:color w:val="FF0000"/>
          <w:lang w:val="en-US"/>
        </w:rPr>
      </w:pPr>
    </w:p>
    <w:p w14:paraId="688976ED" w14:textId="77777777" w:rsidR="00F102E8" w:rsidRPr="00F102E8" w:rsidRDefault="00F102E8" w:rsidP="009E345A">
      <w:pPr>
        <w:rPr>
          <w:color w:val="FF0000"/>
          <w:lang w:val="en-US"/>
        </w:rPr>
      </w:pPr>
      <w:r w:rsidRPr="00F102E8">
        <w:rPr>
          <w:color w:val="FF0000"/>
          <w:lang w:val="en-US"/>
        </w:rPr>
        <w:t>Moreover, ‘loans for consumption (personal)’ now has the following maturity breakdown:</w:t>
      </w:r>
    </w:p>
    <w:p w14:paraId="7CA4600C" w14:textId="77777777" w:rsidR="00F102E8" w:rsidRPr="00F102E8" w:rsidRDefault="00F102E8" w:rsidP="00F102E8">
      <w:pPr>
        <w:rPr>
          <w:color w:val="FF0000"/>
          <w:lang w:val="en-US"/>
        </w:rPr>
      </w:pPr>
      <w:r w:rsidRPr="00F102E8">
        <w:rPr>
          <w:color w:val="FF0000"/>
          <w:lang w:val="en-US"/>
        </w:rPr>
        <w:t>•</w:t>
      </w:r>
      <w:r w:rsidRPr="00F102E8">
        <w:rPr>
          <w:color w:val="FF0000"/>
          <w:lang w:val="en-US"/>
        </w:rPr>
        <w:tab/>
        <w:t>Maturity &lt;= 1 year</w:t>
      </w:r>
    </w:p>
    <w:p w14:paraId="4905B986" w14:textId="77777777" w:rsidR="00F102E8" w:rsidRPr="00F102E8" w:rsidRDefault="00F102E8" w:rsidP="00F102E8">
      <w:pPr>
        <w:rPr>
          <w:color w:val="FF0000"/>
          <w:lang w:val="en-US"/>
        </w:rPr>
      </w:pPr>
      <w:r w:rsidRPr="00F102E8">
        <w:rPr>
          <w:color w:val="FF0000"/>
          <w:lang w:val="en-US"/>
        </w:rPr>
        <w:t>•</w:t>
      </w:r>
      <w:r w:rsidRPr="00F102E8">
        <w:rPr>
          <w:color w:val="FF0000"/>
          <w:lang w:val="en-US"/>
        </w:rPr>
        <w:tab/>
        <w:t>&gt; 1 year maturity &lt;= 2 year</w:t>
      </w:r>
    </w:p>
    <w:p w14:paraId="7BAB2B9C" w14:textId="77777777" w:rsidR="00F102E8" w:rsidRPr="00F102E8" w:rsidRDefault="00F102E8" w:rsidP="00F102E8">
      <w:pPr>
        <w:rPr>
          <w:color w:val="FF0000"/>
          <w:lang w:val="en-US"/>
        </w:rPr>
      </w:pPr>
      <w:r w:rsidRPr="00F102E8">
        <w:rPr>
          <w:color w:val="FF0000"/>
          <w:lang w:val="en-US"/>
        </w:rPr>
        <w:t>•</w:t>
      </w:r>
      <w:r w:rsidRPr="00F102E8">
        <w:rPr>
          <w:color w:val="FF0000"/>
          <w:lang w:val="en-US"/>
        </w:rPr>
        <w:tab/>
        <w:t>&gt; 2 year maturity &lt;= 5 year</w:t>
      </w:r>
    </w:p>
    <w:p w14:paraId="70B4E905" w14:textId="77777777" w:rsidR="00F102E8" w:rsidRPr="00F102E8" w:rsidRDefault="00F102E8" w:rsidP="00F102E8">
      <w:pPr>
        <w:rPr>
          <w:color w:val="FF0000"/>
          <w:lang w:val="en-US"/>
        </w:rPr>
      </w:pPr>
      <w:r w:rsidRPr="00F102E8">
        <w:rPr>
          <w:color w:val="FF0000"/>
          <w:lang w:val="en-US"/>
        </w:rPr>
        <w:t>•</w:t>
      </w:r>
      <w:r w:rsidRPr="00F102E8">
        <w:rPr>
          <w:color w:val="FF0000"/>
          <w:lang w:val="en-US"/>
        </w:rPr>
        <w:tab/>
        <w:t>Maturity &gt; 5 year</w:t>
      </w:r>
    </w:p>
    <w:p w14:paraId="675C4DA4" w14:textId="77777777" w:rsidR="00F102E8" w:rsidRDefault="00F102E8" w:rsidP="009E345A">
      <w:pPr>
        <w:rPr>
          <w:b/>
          <w:lang w:val="en-US"/>
        </w:rPr>
      </w:pPr>
    </w:p>
    <w:p w14:paraId="5B1B6AE9" w14:textId="77777777" w:rsidR="00F102E8" w:rsidRDefault="00F102E8" w:rsidP="009E345A">
      <w:pPr>
        <w:rPr>
          <w:b/>
          <w:lang w:val="en-US"/>
        </w:rPr>
      </w:pPr>
    </w:p>
    <w:p w14:paraId="45E160C9" w14:textId="77777777" w:rsidR="009E345A" w:rsidRDefault="00F102E8" w:rsidP="009E345A">
      <w:pPr>
        <w:rPr>
          <w:b/>
          <w:lang w:val="en-US"/>
        </w:rPr>
      </w:pPr>
      <w:r>
        <w:rPr>
          <w:b/>
          <w:lang w:val="en-US"/>
        </w:rPr>
        <w:t>1.8</w:t>
      </w:r>
      <w:r w:rsidR="009E345A">
        <w:rPr>
          <w:b/>
          <w:lang w:val="en-US"/>
        </w:rPr>
        <w:t xml:space="preserve"> Form </w:t>
      </w:r>
      <w:r w:rsidR="009E345A" w:rsidRPr="00A60B2F">
        <w:rPr>
          <w:b/>
          <w:lang w:val="en-US"/>
        </w:rPr>
        <w:t>T9007HK4 - Total overview of write-downs and other price revaluations, additional information for total all sectors, not-allocated and grand total</w:t>
      </w:r>
    </w:p>
    <w:p w14:paraId="724AC753" w14:textId="77777777" w:rsidR="009E345A" w:rsidRPr="00526350" w:rsidRDefault="009E345A" w:rsidP="009E345A">
      <w:pPr>
        <w:rPr>
          <w:lang w:val="en-US"/>
        </w:rPr>
      </w:pPr>
    </w:p>
    <w:p w14:paraId="39CD9FDB" w14:textId="77777777" w:rsidR="009E345A" w:rsidRDefault="009E345A" w:rsidP="009E345A">
      <w:pPr>
        <w:rPr>
          <w:lang w:val="en-US"/>
        </w:rPr>
      </w:pPr>
      <w:r w:rsidRPr="003C4D61">
        <w:rPr>
          <w:lang w:val="en-US"/>
        </w:rPr>
        <w:t xml:space="preserve">Non-financial assets (including fixed assets) </w:t>
      </w:r>
      <w:r>
        <w:rPr>
          <w:lang w:val="en-US"/>
        </w:rPr>
        <w:t>now has an additional breakdown to</w:t>
      </w:r>
      <w:r w:rsidRPr="003C4D61">
        <w:rPr>
          <w:lang w:val="en-US"/>
        </w:rPr>
        <w:t xml:space="preserve"> Real estate holdings.</w:t>
      </w:r>
    </w:p>
    <w:p w14:paraId="207A7332" w14:textId="7BD631F2" w:rsidR="009E345A" w:rsidRDefault="009E345A" w:rsidP="009E345A">
      <w:pPr>
        <w:rPr>
          <w:lang w:val="en-US"/>
        </w:rPr>
      </w:pPr>
    </w:p>
    <w:p w14:paraId="6346F923" w14:textId="33D8301C" w:rsidR="003808CE" w:rsidRPr="003808CE" w:rsidRDefault="003808CE" w:rsidP="009E345A">
      <w:pPr>
        <w:rPr>
          <w:color w:val="FF0000"/>
          <w:lang w:val="en-US"/>
        </w:rPr>
      </w:pPr>
      <w:r w:rsidRPr="003808CE">
        <w:rPr>
          <w:color w:val="FF0000"/>
          <w:lang w:val="en-US"/>
        </w:rPr>
        <w:t>New row is included on the asset side (shares/units)</w:t>
      </w:r>
      <w:r>
        <w:rPr>
          <w:color w:val="FF0000"/>
          <w:lang w:val="en-US"/>
        </w:rPr>
        <w:t>.</w:t>
      </w:r>
      <w:r w:rsidRPr="003808CE">
        <w:rPr>
          <w:color w:val="FF0000"/>
          <w:lang w:val="en-US"/>
        </w:rPr>
        <w:t xml:space="preserve"> </w:t>
      </w:r>
    </w:p>
    <w:p w14:paraId="7D5286A9" w14:textId="77777777" w:rsidR="003808CE" w:rsidRDefault="003808CE" w:rsidP="009E345A">
      <w:pPr>
        <w:rPr>
          <w:lang w:val="en-US"/>
        </w:rPr>
      </w:pPr>
    </w:p>
    <w:p w14:paraId="14A20874" w14:textId="65209EDF" w:rsidR="009E345A" w:rsidRDefault="009E345A" w:rsidP="009E345A">
      <w:pPr>
        <w:rPr>
          <w:b/>
          <w:lang w:val="en-US"/>
        </w:rPr>
      </w:pPr>
      <w:r w:rsidRPr="001544FF">
        <w:rPr>
          <w:b/>
          <w:lang w:val="en-US"/>
        </w:rPr>
        <w:t>1.</w:t>
      </w:r>
      <w:r w:rsidR="003808CE">
        <w:rPr>
          <w:b/>
          <w:lang w:val="en-US"/>
        </w:rPr>
        <w:t>9</w:t>
      </w:r>
      <w:r w:rsidRPr="001544FF">
        <w:rPr>
          <w:b/>
          <w:lang w:val="en-US"/>
        </w:rPr>
        <w:t xml:space="preserve"> Form T9013HK1 - Gross flows (sold vs. repurchased) of </w:t>
      </w:r>
      <w:proofErr w:type="spellStart"/>
      <w:r w:rsidRPr="001544FF">
        <w:rPr>
          <w:b/>
          <w:lang w:val="en-US"/>
        </w:rPr>
        <w:t>securitised</w:t>
      </w:r>
      <w:proofErr w:type="spellEnd"/>
      <w:r w:rsidRPr="001544FF">
        <w:rPr>
          <w:b/>
          <w:lang w:val="en-US"/>
        </w:rPr>
        <w:t xml:space="preserve"> loans transferred to FVCs - Transactions with effect on reported position of loans in MFI balance sheet (‘</w:t>
      </w:r>
      <w:proofErr w:type="spellStart"/>
      <w:r w:rsidRPr="001544FF">
        <w:rPr>
          <w:b/>
          <w:lang w:val="en-US"/>
        </w:rPr>
        <w:t>derecognised</w:t>
      </w:r>
      <w:proofErr w:type="spellEnd"/>
      <w:r w:rsidRPr="001544FF">
        <w:rPr>
          <w:b/>
          <w:lang w:val="en-US"/>
        </w:rPr>
        <w:t>’)</w:t>
      </w:r>
    </w:p>
    <w:p w14:paraId="272B01F7" w14:textId="77777777" w:rsidR="009E345A" w:rsidRPr="00526350" w:rsidRDefault="009E345A" w:rsidP="009E345A">
      <w:pPr>
        <w:rPr>
          <w:lang w:val="en-US"/>
        </w:rPr>
      </w:pPr>
    </w:p>
    <w:p w14:paraId="37F72092" w14:textId="77777777" w:rsidR="009E345A" w:rsidRPr="006F3654" w:rsidRDefault="009E345A" w:rsidP="009E345A">
      <w:pPr>
        <w:rPr>
          <w:lang w:val="en-US"/>
        </w:rPr>
      </w:pPr>
      <w:r w:rsidRPr="006F3654">
        <w:rPr>
          <w:lang w:val="en-US"/>
        </w:rPr>
        <w:t>Lo</w:t>
      </w:r>
      <w:r>
        <w:rPr>
          <w:lang w:val="en-US"/>
        </w:rPr>
        <w:t>ans granted and deposits placed</w:t>
      </w:r>
      <w:r w:rsidRPr="006F3654">
        <w:rPr>
          <w:lang w:val="en-US"/>
        </w:rPr>
        <w:t xml:space="preserve"> now has the following maturity breakdown: </w:t>
      </w:r>
    </w:p>
    <w:p w14:paraId="1EA95197" w14:textId="77777777" w:rsidR="009E345A" w:rsidRPr="006F3654" w:rsidRDefault="009E345A" w:rsidP="009E345A">
      <w:pPr>
        <w:rPr>
          <w:lang w:val="en-US"/>
        </w:rPr>
      </w:pPr>
    </w:p>
    <w:p w14:paraId="60ABCB72" w14:textId="77777777" w:rsidR="009E345A" w:rsidRDefault="009E345A" w:rsidP="009E345A">
      <w:pPr>
        <w:rPr>
          <w:lang w:val="en-US"/>
        </w:rPr>
      </w:pPr>
      <w:r>
        <w:rPr>
          <w:lang w:val="en-US"/>
        </w:rPr>
        <w:t>•</w:t>
      </w:r>
      <w:r>
        <w:rPr>
          <w:lang w:val="en-US"/>
        </w:rPr>
        <w:tab/>
        <w:t>Maturity &lt;= 1 year</w:t>
      </w:r>
    </w:p>
    <w:p w14:paraId="39A8BA18" w14:textId="77777777" w:rsidR="009E345A" w:rsidRDefault="009E345A" w:rsidP="009E345A">
      <w:pPr>
        <w:rPr>
          <w:lang w:val="en-US"/>
        </w:rPr>
      </w:pPr>
      <w:r>
        <w:rPr>
          <w:lang w:val="en-US"/>
        </w:rPr>
        <w:t>•</w:t>
      </w:r>
      <w:r>
        <w:rPr>
          <w:lang w:val="en-US"/>
        </w:rPr>
        <w:tab/>
        <w:t>&gt; 1 year maturity &lt;= 2 year</w:t>
      </w:r>
    </w:p>
    <w:p w14:paraId="18F7F0DB" w14:textId="77777777" w:rsidR="009E345A" w:rsidRDefault="009E345A" w:rsidP="009E345A">
      <w:pPr>
        <w:rPr>
          <w:lang w:val="en-US"/>
        </w:rPr>
      </w:pPr>
      <w:r>
        <w:rPr>
          <w:lang w:val="en-US"/>
        </w:rPr>
        <w:t>•</w:t>
      </w:r>
      <w:r>
        <w:rPr>
          <w:lang w:val="en-US"/>
        </w:rPr>
        <w:tab/>
        <w:t>&gt; 2 year maturity &lt;= 5 year</w:t>
      </w:r>
    </w:p>
    <w:p w14:paraId="7ADFB5A1" w14:textId="77777777" w:rsidR="009E345A" w:rsidRPr="00AD27D7" w:rsidRDefault="009E345A" w:rsidP="009E345A">
      <w:pPr>
        <w:rPr>
          <w:lang w:val="en-US"/>
        </w:rPr>
      </w:pPr>
      <w:r w:rsidRPr="00B37E8C">
        <w:rPr>
          <w:lang w:val="en-US"/>
        </w:rPr>
        <w:t>•</w:t>
      </w:r>
      <w:r w:rsidRPr="00B37E8C">
        <w:rPr>
          <w:lang w:val="en-US"/>
        </w:rPr>
        <w:tab/>
        <w:t>Maturity &gt; 5 year</w:t>
      </w:r>
    </w:p>
    <w:p w14:paraId="7347EAE7" w14:textId="77777777" w:rsidR="009E345A" w:rsidRPr="00AD27D7" w:rsidRDefault="009E345A" w:rsidP="009E345A">
      <w:pPr>
        <w:rPr>
          <w:lang w:val="en-US"/>
        </w:rPr>
      </w:pPr>
    </w:p>
    <w:p w14:paraId="290BA538" w14:textId="7F64E508" w:rsidR="009E345A" w:rsidRDefault="009E345A" w:rsidP="009E345A">
      <w:pPr>
        <w:rPr>
          <w:lang w:val="en-US"/>
        </w:rPr>
      </w:pPr>
      <w:r>
        <w:rPr>
          <w:lang w:val="en-US"/>
        </w:rPr>
        <w:t>On the z-axis, the additional d</w:t>
      </w:r>
      <w:r w:rsidRPr="00526350">
        <w:rPr>
          <w:lang w:val="en-US"/>
        </w:rPr>
        <w:t xml:space="preserve">imension </w:t>
      </w:r>
      <w:r>
        <w:rPr>
          <w:lang w:val="en-US"/>
        </w:rPr>
        <w:t>‘</w:t>
      </w:r>
      <w:r w:rsidRPr="00526350">
        <w:rPr>
          <w:lang w:val="en-US"/>
        </w:rPr>
        <w:t>Servicer</w:t>
      </w:r>
      <w:r>
        <w:rPr>
          <w:lang w:val="en-US"/>
        </w:rPr>
        <w:t>’</w:t>
      </w:r>
      <w:r w:rsidRPr="00526350">
        <w:rPr>
          <w:lang w:val="en-US"/>
        </w:rPr>
        <w:t xml:space="preserve"> has been added.</w:t>
      </w:r>
      <w:r>
        <w:rPr>
          <w:lang w:val="en-US"/>
        </w:rPr>
        <w:t xml:space="preserve"> </w:t>
      </w:r>
      <w:r w:rsidRPr="00526350">
        <w:rPr>
          <w:lang w:val="en-US"/>
        </w:rPr>
        <w:t xml:space="preserve"> </w:t>
      </w:r>
    </w:p>
    <w:p w14:paraId="5CB362FC" w14:textId="68E9482B" w:rsidR="0051108D" w:rsidRDefault="0051108D" w:rsidP="009E345A">
      <w:pPr>
        <w:rPr>
          <w:lang w:val="en-US"/>
        </w:rPr>
      </w:pPr>
    </w:p>
    <w:p w14:paraId="588285AB" w14:textId="30829FCB" w:rsidR="0051108D" w:rsidRPr="0051108D" w:rsidRDefault="0051108D" w:rsidP="009E345A">
      <w:pPr>
        <w:rPr>
          <w:color w:val="FF0000"/>
          <w:lang w:val="en-US"/>
        </w:rPr>
      </w:pPr>
      <w:r w:rsidRPr="0051108D">
        <w:rPr>
          <w:color w:val="FF0000"/>
          <w:lang w:val="en-US"/>
        </w:rPr>
        <w:t>In version 2.0.1. the options for ‘Servicer’ are ‘Acting as servicer/Not acting as servicer’, which was ‘Yes/No’ before.</w:t>
      </w:r>
    </w:p>
    <w:p w14:paraId="3ECE0E37" w14:textId="1EB16CC9" w:rsidR="009E345A" w:rsidRDefault="009E345A" w:rsidP="009E345A">
      <w:pPr>
        <w:rPr>
          <w:b/>
          <w:lang w:val="en-US"/>
        </w:rPr>
      </w:pPr>
    </w:p>
    <w:p w14:paraId="17A724E7" w14:textId="722B0702" w:rsidR="00B55137" w:rsidRPr="00B55137" w:rsidRDefault="00B55137" w:rsidP="009E345A">
      <w:pPr>
        <w:rPr>
          <w:color w:val="FF0000"/>
          <w:lang w:val="en-US"/>
        </w:rPr>
      </w:pPr>
      <w:r w:rsidRPr="00B55137">
        <w:rPr>
          <w:color w:val="FF0000"/>
          <w:lang w:val="en-US"/>
        </w:rPr>
        <w:t xml:space="preserve">The variant ‘country of residence of SPV’ in the taxonomy should be ‘country of residence of FVC’ as indicated in the manual. </w:t>
      </w:r>
    </w:p>
    <w:p w14:paraId="50006FD8" w14:textId="77777777" w:rsidR="002D5D8B" w:rsidRDefault="002D5D8B" w:rsidP="009E345A">
      <w:pPr>
        <w:rPr>
          <w:b/>
          <w:lang w:val="en-US"/>
        </w:rPr>
      </w:pPr>
    </w:p>
    <w:p w14:paraId="0AFF8CE9" w14:textId="099799C3" w:rsidR="002D5D8B" w:rsidRDefault="002D5D8B" w:rsidP="009E345A">
      <w:pPr>
        <w:rPr>
          <w:b/>
          <w:lang w:val="en-US"/>
        </w:rPr>
      </w:pPr>
    </w:p>
    <w:p w14:paraId="020428A7" w14:textId="3D9842EA" w:rsidR="009E345A" w:rsidRPr="00C91BB5" w:rsidRDefault="009E345A" w:rsidP="009E345A">
      <w:pPr>
        <w:rPr>
          <w:lang w:val="en-US"/>
        </w:rPr>
      </w:pPr>
      <w:r>
        <w:rPr>
          <w:b/>
          <w:lang w:val="en-US"/>
        </w:rPr>
        <w:t>1.</w:t>
      </w:r>
      <w:r w:rsidR="0051108D">
        <w:rPr>
          <w:b/>
          <w:lang w:val="en-US"/>
        </w:rPr>
        <w:t>10</w:t>
      </w:r>
      <w:r w:rsidRPr="001544FF">
        <w:rPr>
          <w:b/>
          <w:lang w:val="en-US"/>
        </w:rPr>
        <w:t xml:space="preserve"> Form</w:t>
      </w:r>
      <w:r>
        <w:rPr>
          <w:b/>
          <w:lang w:val="en-US"/>
        </w:rPr>
        <w:t xml:space="preserve"> </w:t>
      </w:r>
      <w:r w:rsidRPr="00C91BB5">
        <w:rPr>
          <w:b/>
          <w:lang w:val="en-US"/>
        </w:rPr>
        <w:t xml:space="preserve">T9013HK2 - Net flows (sales less repurchases) of </w:t>
      </w:r>
      <w:proofErr w:type="spellStart"/>
      <w:r w:rsidRPr="00C91BB5">
        <w:rPr>
          <w:b/>
          <w:lang w:val="en-US"/>
        </w:rPr>
        <w:t>securitised</w:t>
      </w:r>
      <w:proofErr w:type="spellEnd"/>
      <w:r w:rsidRPr="00C91BB5">
        <w:rPr>
          <w:b/>
          <w:lang w:val="en-US"/>
        </w:rPr>
        <w:t xml:space="preserve"> loans to FVCs - Transactions without effect on reported position of loans in MFI balance sheet (‘not </w:t>
      </w:r>
      <w:proofErr w:type="spellStart"/>
      <w:r w:rsidRPr="00C91BB5">
        <w:rPr>
          <w:b/>
          <w:lang w:val="en-US"/>
        </w:rPr>
        <w:t>derecognised</w:t>
      </w:r>
      <w:proofErr w:type="spellEnd"/>
      <w:r w:rsidRPr="00C91BB5">
        <w:rPr>
          <w:b/>
          <w:lang w:val="en-US"/>
        </w:rPr>
        <w:t>’)</w:t>
      </w:r>
    </w:p>
    <w:p w14:paraId="74984BE2" w14:textId="77777777" w:rsidR="009E345A" w:rsidRPr="001A491A" w:rsidRDefault="009E345A" w:rsidP="009E345A">
      <w:pPr>
        <w:rPr>
          <w:lang w:val="en-US"/>
        </w:rPr>
      </w:pPr>
    </w:p>
    <w:p w14:paraId="11A4064E" w14:textId="77777777" w:rsidR="009E345A" w:rsidRPr="006F3654" w:rsidRDefault="009E345A" w:rsidP="009E345A">
      <w:pPr>
        <w:rPr>
          <w:lang w:val="en-US"/>
        </w:rPr>
      </w:pPr>
      <w:r w:rsidRPr="006F3654">
        <w:rPr>
          <w:lang w:val="en-US"/>
        </w:rPr>
        <w:t>Lo</w:t>
      </w:r>
      <w:r>
        <w:rPr>
          <w:lang w:val="en-US"/>
        </w:rPr>
        <w:t>ans granted and deposits placed</w:t>
      </w:r>
      <w:r w:rsidRPr="006F3654">
        <w:rPr>
          <w:lang w:val="en-US"/>
        </w:rPr>
        <w:t xml:space="preserve"> now has the following maturity breakdown: </w:t>
      </w:r>
    </w:p>
    <w:p w14:paraId="5C92A9CA" w14:textId="77777777" w:rsidR="009E345A" w:rsidRPr="006F3654" w:rsidRDefault="009E345A" w:rsidP="009E345A">
      <w:pPr>
        <w:rPr>
          <w:lang w:val="en-US"/>
        </w:rPr>
      </w:pPr>
    </w:p>
    <w:p w14:paraId="018880DB" w14:textId="77777777" w:rsidR="009E345A" w:rsidRDefault="009E345A" w:rsidP="009E345A">
      <w:pPr>
        <w:rPr>
          <w:lang w:val="en-US"/>
        </w:rPr>
      </w:pPr>
      <w:r>
        <w:rPr>
          <w:lang w:val="en-US"/>
        </w:rPr>
        <w:t>•</w:t>
      </w:r>
      <w:r>
        <w:rPr>
          <w:lang w:val="en-US"/>
        </w:rPr>
        <w:tab/>
        <w:t>Maturity &lt;= 1 year</w:t>
      </w:r>
    </w:p>
    <w:p w14:paraId="6CC3F632" w14:textId="77777777" w:rsidR="009E345A" w:rsidRDefault="009E345A" w:rsidP="009E345A">
      <w:pPr>
        <w:rPr>
          <w:lang w:val="en-US"/>
        </w:rPr>
      </w:pPr>
      <w:r>
        <w:rPr>
          <w:lang w:val="en-US"/>
        </w:rPr>
        <w:lastRenderedPageBreak/>
        <w:t>•</w:t>
      </w:r>
      <w:r>
        <w:rPr>
          <w:lang w:val="en-US"/>
        </w:rPr>
        <w:tab/>
        <w:t>&gt; 1 year maturity &lt;= 2 year</w:t>
      </w:r>
    </w:p>
    <w:p w14:paraId="34C8D58D" w14:textId="77777777" w:rsidR="009E345A" w:rsidRDefault="009E345A" w:rsidP="009E345A">
      <w:pPr>
        <w:rPr>
          <w:lang w:val="en-US"/>
        </w:rPr>
      </w:pPr>
      <w:r>
        <w:rPr>
          <w:lang w:val="en-US"/>
        </w:rPr>
        <w:t>•</w:t>
      </w:r>
      <w:r>
        <w:rPr>
          <w:lang w:val="en-US"/>
        </w:rPr>
        <w:tab/>
        <w:t>&gt; 2 year maturity &lt;= 5 year</w:t>
      </w:r>
    </w:p>
    <w:p w14:paraId="17B54B21" w14:textId="77777777" w:rsidR="009E345A" w:rsidRPr="00526350" w:rsidRDefault="009E345A" w:rsidP="009E345A">
      <w:pPr>
        <w:rPr>
          <w:lang w:val="en-US"/>
        </w:rPr>
      </w:pPr>
      <w:r w:rsidRPr="00B37E8C">
        <w:rPr>
          <w:lang w:val="en-US"/>
        </w:rPr>
        <w:t>•</w:t>
      </w:r>
      <w:r w:rsidRPr="00B37E8C">
        <w:rPr>
          <w:lang w:val="en-US"/>
        </w:rPr>
        <w:tab/>
        <w:t>Maturity &gt; 5 year</w:t>
      </w:r>
    </w:p>
    <w:p w14:paraId="211000B7" w14:textId="16B2DA13" w:rsidR="009E345A" w:rsidRDefault="009E345A" w:rsidP="009E345A">
      <w:pPr>
        <w:rPr>
          <w:lang w:val="en-US"/>
        </w:rPr>
      </w:pPr>
    </w:p>
    <w:p w14:paraId="73774204" w14:textId="77777777" w:rsidR="00B55137" w:rsidRPr="00B55137" w:rsidRDefault="00B55137" w:rsidP="00B55137">
      <w:pPr>
        <w:rPr>
          <w:color w:val="FF0000"/>
          <w:lang w:val="en-US"/>
        </w:rPr>
      </w:pPr>
      <w:r w:rsidRPr="00B55137">
        <w:rPr>
          <w:color w:val="FF0000"/>
          <w:lang w:val="en-US"/>
        </w:rPr>
        <w:t xml:space="preserve">The variant ‘country of residence of SPV’ in the taxonomy should be ‘country of residence of FVC’ as indicated in the manual. </w:t>
      </w:r>
    </w:p>
    <w:p w14:paraId="6664CC9D" w14:textId="440A8857" w:rsidR="00B55137" w:rsidRDefault="00B55137" w:rsidP="009E345A">
      <w:pPr>
        <w:rPr>
          <w:lang w:val="en-US"/>
        </w:rPr>
      </w:pPr>
    </w:p>
    <w:p w14:paraId="631D3B42" w14:textId="77777777" w:rsidR="00B55137" w:rsidRPr="007C4D4A" w:rsidRDefault="00B55137" w:rsidP="009E345A">
      <w:pPr>
        <w:rPr>
          <w:lang w:val="en-US"/>
        </w:rPr>
      </w:pPr>
    </w:p>
    <w:p w14:paraId="7DF82A25" w14:textId="7B810785" w:rsidR="009E345A" w:rsidRDefault="009E345A" w:rsidP="009E345A">
      <w:pPr>
        <w:rPr>
          <w:b/>
          <w:lang w:val="en-US"/>
        </w:rPr>
      </w:pPr>
      <w:r>
        <w:rPr>
          <w:b/>
          <w:lang w:val="en-US"/>
        </w:rPr>
        <w:t>1.</w:t>
      </w:r>
      <w:r w:rsidR="0051108D">
        <w:rPr>
          <w:b/>
          <w:lang w:val="en-US"/>
        </w:rPr>
        <w:t>11</w:t>
      </w:r>
      <w:r>
        <w:rPr>
          <w:b/>
          <w:lang w:val="en-US"/>
        </w:rPr>
        <w:t xml:space="preserve"> Form </w:t>
      </w:r>
      <w:r w:rsidRPr="00C91BB5">
        <w:rPr>
          <w:b/>
          <w:lang w:val="en-US"/>
        </w:rPr>
        <w:t xml:space="preserve">T9013HK3 - Outstanding amounts of </w:t>
      </w:r>
      <w:proofErr w:type="spellStart"/>
      <w:r w:rsidRPr="00C91BB5">
        <w:rPr>
          <w:b/>
          <w:lang w:val="en-US"/>
        </w:rPr>
        <w:t>securitised</w:t>
      </w:r>
      <w:proofErr w:type="spellEnd"/>
      <w:r w:rsidRPr="00C91BB5">
        <w:rPr>
          <w:b/>
          <w:lang w:val="en-US"/>
        </w:rPr>
        <w:t xml:space="preserve"> loans transferred to FVCs (‘</w:t>
      </w:r>
      <w:proofErr w:type="spellStart"/>
      <w:r w:rsidRPr="00C91BB5">
        <w:rPr>
          <w:b/>
          <w:lang w:val="en-US"/>
        </w:rPr>
        <w:t>derecognised</w:t>
      </w:r>
      <w:proofErr w:type="spellEnd"/>
      <w:r w:rsidRPr="00C91BB5">
        <w:rPr>
          <w:b/>
          <w:lang w:val="en-US"/>
        </w:rPr>
        <w:t>’) serviced by reporting agent</w:t>
      </w:r>
    </w:p>
    <w:p w14:paraId="3475BA17" w14:textId="77777777" w:rsidR="009E345A" w:rsidRPr="00AD27D7" w:rsidRDefault="009E345A" w:rsidP="009E345A">
      <w:pPr>
        <w:rPr>
          <w:lang w:val="en-US"/>
        </w:rPr>
      </w:pPr>
    </w:p>
    <w:p w14:paraId="2370C685" w14:textId="77777777" w:rsidR="009E345A" w:rsidRPr="006F3654" w:rsidRDefault="009E345A" w:rsidP="009E345A">
      <w:pPr>
        <w:rPr>
          <w:lang w:val="en-US"/>
        </w:rPr>
      </w:pPr>
      <w:r w:rsidRPr="006F3654">
        <w:rPr>
          <w:lang w:val="en-US"/>
        </w:rPr>
        <w:t>Lo</w:t>
      </w:r>
      <w:r>
        <w:rPr>
          <w:lang w:val="en-US"/>
        </w:rPr>
        <w:t>ans granted and deposits placed</w:t>
      </w:r>
      <w:r w:rsidRPr="006F3654">
        <w:rPr>
          <w:lang w:val="en-US"/>
        </w:rPr>
        <w:t xml:space="preserve"> now has the following maturity breakdown: </w:t>
      </w:r>
    </w:p>
    <w:p w14:paraId="387C9EB4" w14:textId="77777777" w:rsidR="009E345A" w:rsidRPr="006F3654" w:rsidRDefault="009E345A" w:rsidP="009E345A">
      <w:pPr>
        <w:rPr>
          <w:lang w:val="en-US"/>
        </w:rPr>
      </w:pPr>
    </w:p>
    <w:p w14:paraId="1FE136AF" w14:textId="77777777" w:rsidR="009E345A" w:rsidRDefault="009E345A" w:rsidP="009E345A">
      <w:pPr>
        <w:rPr>
          <w:lang w:val="en-US"/>
        </w:rPr>
      </w:pPr>
      <w:r>
        <w:rPr>
          <w:lang w:val="en-US"/>
        </w:rPr>
        <w:t>•</w:t>
      </w:r>
      <w:r>
        <w:rPr>
          <w:lang w:val="en-US"/>
        </w:rPr>
        <w:tab/>
        <w:t>Maturity &lt;= 1 year</w:t>
      </w:r>
    </w:p>
    <w:p w14:paraId="1DFBA281" w14:textId="77777777" w:rsidR="009E345A" w:rsidRDefault="009E345A" w:rsidP="009E345A">
      <w:pPr>
        <w:rPr>
          <w:lang w:val="en-US"/>
        </w:rPr>
      </w:pPr>
      <w:r>
        <w:rPr>
          <w:lang w:val="en-US"/>
        </w:rPr>
        <w:t>•</w:t>
      </w:r>
      <w:r>
        <w:rPr>
          <w:lang w:val="en-US"/>
        </w:rPr>
        <w:tab/>
        <w:t>&gt; 1 year maturity &lt;= 2 year</w:t>
      </w:r>
    </w:p>
    <w:p w14:paraId="5995FAEA" w14:textId="77777777" w:rsidR="009E345A" w:rsidRDefault="009E345A" w:rsidP="009E345A">
      <w:pPr>
        <w:rPr>
          <w:lang w:val="en-US"/>
        </w:rPr>
      </w:pPr>
      <w:r>
        <w:rPr>
          <w:lang w:val="en-US"/>
        </w:rPr>
        <w:t>•</w:t>
      </w:r>
      <w:r>
        <w:rPr>
          <w:lang w:val="en-US"/>
        </w:rPr>
        <w:tab/>
        <w:t>&gt; 2 year maturity &lt;= 5 year</w:t>
      </w:r>
    </w:p>
    <w:p w14:paraId="69C7CADB" w14:textId="77777777" w:rsidR="009E345A" w:rsidRPr="00526350" w:rsidRDefault="009E345A" w:rsidP="009E345A">
      <w:pPr>
        <w:rPr>
          <w:lang w:val="en-US"/>
        </w:rPr>
      </w:pPr>
      <w:r w:rsidRPr="00B37E8C">
        <w:rPr>
          <w:lang w:val="en-US"/>
        </w:rPr>
        <w:t>•</w:t>
      </w:r>
      <w:r w:rsidRPr="00B37E8C">
        <w:rPr>
          <w:lang w:val="en-US"/>
        </w:rPr>
        <w:tab/>
        <w:t>Maturity &gt; 5 year</w:t>
      </w:r>
    </w:p>
    <w:p w14:paraId="30BE2A52" w14:textId="200A8236" w:rsidR="009E345A" w:rsidRDefault="009E345A" w:rsidP="009E345A">
      <w:pPr>
        <w:rPr>
          <w:lang w:val="en-US"/>
        </w:rPr>
      </w:pPr>
    </w:p>
    <w:p w14:paraId="4E322610" w14:textId="7F33C7DA" w:rsidR="0051108D" w:rsidRPr="0051108D" w:rsidRDefault="0051108D" w:rsidP="009E345A">
      <w:pPr>
        <w:rPr>
          <w:color w:val="FF0000"/>
          <w:lang w:val="en-US"/>
        </w:rPr>
      </w:pPr>
      <w:r w:rsidRPr="0051108D">
        <w:rPr>
          <w:color w:val="FF0000"/>
          <w:lang w:val="en-US"/>
        </w:rPr>
        <w:t xml:space="preserve">A Boolean is added for ‘Servicer’. </w:t>
      </w:r>
    </w:p>
    <w:p w14:paraId="76CB449B" w14:textId="412C9B00" w:rsidR="0051108D" w:rsidRDefault="0051108D" w:rsidP="009E345A">
      <w:pPr>
        <w:rPr>
          <w:lang w:val="en-US"/>
        </w:rPr>
      </w:pPr>
    </w:p>
    <w:p w14:paraId="5B003538" w14:textId="77777777" w:rsidR="00B55137" w:rsidRPr="00B55137" w:rsidRDefault="00B55137" w:rsidP="00B55137">
      <w:pPr>
        <w:rPr>
          <w:color w:val="FF0000"/>
          <w:lang w:val="en-US"/>
        </w:rPr>
      </w:pPr>
      <w:r w:rsidRPr="00B55137">
        <w:rPr>
          <w:color w:val="FF0000"/>
          <w:lang w:val="en-US"/>
        </w:rPr>
        <w:t xml:space="preserve">The variant ‘country of residence of SPV’ in the taxonomy should be ‘country of residence of FVC’ as indicated in the manual. </w:t>
      </w:r>
    </w:p>
    <w:p w14:paraId="6743191A" w14:textId="1426ECF0" w:rsidR="00B55137" w:rsidRDefault="00B55137" w:rsidP="009E345A">
      <w:pPr>
        <w:rPr>
          <w:lang w:val="en-US"/>
        </w:rPr>
      </w:pPr>
    </w:p>
    <w:p w14:paraId="345C7BA5" w14:textId="77777777" w:rsidR="00B55137" w:rsidRPr="007C4D4A" w:rsidRDefault="00B55137" w:rsidP="009E345A">
      <w:pPr>
        <w:rPr>
          <w:lang w:val="en-US"/>
        </w:rPr>
      </w:pPr>
    </w:p>
    <w:p w14:paraId="0A6A61CF" w14:textId="29685923" w:rsidR="009E345A" w:rsidRDefault="009E345A" w:rsidP="009E345A">
      <w:pPr>
        <w:rPr>
          <w:b/>
          <w:lang w:val="en-US"/>
        </w:rPr>
      </w:pPr>
      <w:r>
        <w:rPr>
          <w:b/>
          <w:lang w:val="en-US"/>
        </w:rPr>
        <w:t>1.1</w:t>
      </w:r>
      <w:r w:rsidR="0051108D">
        <w:rPr>
          <w:b/>
          <w:lang w:val="en-US"/>
        </w:rPr>
        <w:t>2</w:t>
      </w:r>
      <w:r w:rsidRPr="001544FF">
        <w:rPr>
          <w:b/>
          <w:lang w:val="en-US"/>
        </w:rPr>
        <w:t xml:space="preserve"> </w:t>
      </w:r>
      <w:r>
        <w:rPr>
          <w:b/>
          <w:lang w:val="en-US"/>
        </w:rPr>
        <w:t xml:space="preserve">Form </w:t>
      </w:r>
      <w:r w:rsidRPr="006D69A1">
        <w:rPr>
          <w:b/>
          <w:lang w:val="en-US"/>
        </w:rPr>
        <w:t xml:space="preserve">T9013HK4 - Outstanding amounts of </w:t>
      </w:r>
      <w:proofErr w:type="spellStart"/>
      <w:r w:rsidRPr="006D69A1">
        <w:rPr>
          <w:b/>
          <w:lang w:val="en-US"/>
        </w:rPr>
        <w:t>securitised</w:t>
      </w:r>
      <w:proofErr w:type="spellEnd"/>
      <w:r w:rsidRPr="006D69A1">
        <w:rPr>
          <w:b/>
          <w:lang w:val="en-US"/>
        </w:rPr>
        <w:t xml:space="preserve"> loans not </w:t>
      </w:r>
      <w:proofErr w:type="spellStart"/>
      <w:r w:rsidRPr="006D69A1">
        <w:rPr>
          <w:b/>
          <w:lang w:val="en-US"/>
        </w:rPr>
        <w:t>tranferred</w:t>
      </w:r>
      <w:proofErr w:type="spellEnd"/>
      <w:r w:rsidRPr="006D69A1">
        <w:rPr>
          <w:b/>
          <w:lang w:val="en-US"/>
        </w:rPr>
        <w:t xml:space="preserve"> to FVCs ('not </w:t>
      </w:r>
      <w:proofErr w:type="spellStart"/>
      <w:r w:rsidRPr="006D69A1">
        <w:rPr>
          <w:b/>
          <w:lang w:val="en-US"/>
        </w:rPr>
        <w:t>derecognised</w:t>
      </w:r>
      <w:proofErr w:type="spellEnd"/>
      <w:r w:rsidRPr="006D69A1">
        <w:rPr>
          <w:b/>
          <w:lang w:val="en-US"/>
        </w:rPr>
        <w:t>')</w:t>
      </w:r>
    </w:p>
    <w:p w14:paraId="2E3709C2" w14:textId="77777777" w:rsidR="009E345A" w:rsidRPr="00AD27D7" w:rsidRDefault="009E345A" w:rsidP="009E345A">
      <w:pPr>
        <w:rPr>
          <w:lang w:val="en-US"/>
        </w:rPr>
      </w:pPr>
    </w:p>
    <w:p w14:paraId="107E1CDD" w14:textId="77777777" w:rsidR="009E345A" w:rsidRPr="006F3654" w:rsidRDefault="009E345A" w:rsidP="009E345A">
      <w:pPr>
        <w:rPr>
          <w:lang w:val="en-US"/>
        </w:rPr>
      </w:pPr>
      <w:r w:rsidRPr="006F3654">
        <w:rPr>
          <w:lang w:val="en-US"/>
        </w:rPr>
        <w:t>Lo</w:t>
      </w:r>
      <w:r>
        <w:rPr>
          <w:lang w:val="en-US"/>
        </w:rPr>
        <w:t>ans granted and deposits placed</w:t>
      </w:r>
      <w:r w:rsidRPr="006F3654">
        <w:rPr>
          <w:lang w:val="en-US"/>
        </w:rPr>
        <w:t xml:space="preserve"> now has the following maturity breakdown: </w:t>
      </w:r>
    </w:p>
    <w:p w14:paraId="51260567" w14:textId="77777777" w:rsidR="009E345A" w:rsidRPr="006F3654" w:rsidRDefault="009E345A" w:rsidP="009E345A">
      <w:pPr>
        <w:rPr>
          <w:lang w:val="en-US"/>
        </w:rPr>
      </w:pPr>
    </w:p>
    <w:p w14:paraId="3AAA2652" w14:textId="77777777" w:rsidR="009E345A" w:rsidRDefault="009E345A" w:rsidP="009E345A">
      <w:pPr>
        <w:rPr>
          <w:lang w:val="en-US"/>
        </w:rPr>
      </w:pPr>
      <w:r>
        <w:rPr>
          <w:lang w:val="en-US"/>
        </w:rPr>
        <w:t>•</w:t>
      </w:r>
      <w:r>
        <w:rPr>
          <w:lang w:val="en-US"/>
        </w:rPr>
        <w:tab/>
        <w:t>Maturity &lt;= 1 year</w:t>
      </w:r>
    </w:p>
    <w:p w14:paraId="2C8CF2D4" w14:textId="77777777" w:rsidR="009E345A" w:rsidRDefault="009E345A" w:rsidP="009E345A">
      <w:pPr>
        <w:rPr>
          <w:lang w:val="en-US"/>
        </w:rPr>
      </w:pPr>
      <w:r>
        <w:rPr>
          <w:lang w:val="en-US"/>
        </w:rPr>
        <w:t>•</w:t>
      </w:r>
      <w:r>
        <w:rPr>
          <w:lang w:val="en-US"/>
        </w:rPr>
        <w:tab/>
        <w:t>&gt; 1 year maturity &lt;= 2 year</w:t>
      </w:r>
    </w:p>
    <w:p w14:paraId="364C7D18" w14:textId="77777777" w:rsidR="009E345A" w:rsidRDefault="009E345A" w:rsidP="009E345A">
      <w:pPr>
        <w:rPr>
          <w:lang w:val="en-US"/>
        </w:rPr>
      </w:pPr>
      <w:r>
        <w:rPr>
          <w:lang w:val="en-US"/>
        </w:rPr>
        <w:t>•</w:t>
      </w:r>
      <w:r>
        <w:rPr>
          <w:lang w:val="en-US"/>
        </w:rPr>
        <w:tab/>
        <w:t>&gt; 2 year maturity &lt;= 5 year</w:t>
      </w:r>
    </w:p>
    <w:p w14:paraId="2F67BF89" w14:textId="77777777" w:rsidR="009E345A" w:rsidRDefault="009E345A" w:rsidP="009E345A">
      <w:pPr>
        <w:rPr>
          <w:lang w:val="en-US"/>
        </w:rPr>
      </w:pPr>
      <w:r w:rsidRPr="00B37E8C">
        <w:rPr>
          <w:lang w:val="en-US"/>
        </w:rPr>
        <w:t>•</w:t>
      </w:r>
      <w:r w:rsidRPr="00B37E8C">
        <w:rPr>
          <w:lang w:val="en-US"/>
        </w:rPr>
        <w:tab/>
        <w:t>Maturity &gt; 5 year</w:t>
      </w:r>
    </w:p>
    <w:p w14:paraId="3A2BBEFD" w14:textId="32067BBD" w:rsidR="009E345A" w:rsidRDefault="009E345A" w:rsidP="009E345A">
      <w:pPr>
        <w:rPr>
          <w:lang w:val="en-US"/>
        </w:rPr>
      </w:pPr>
    </w:p>
    <w:p w14:paraId="49475A18" w14:textId="77777777" w:rsidR="00B55137" w:rsidRPr="00B55137" w:rsidRDefault="00B55137" w:rsidP="00B55137">
      <w:pPr>
        <w:rPr>
          <w:color w:val="FF0000"/>
          <w:lang w:val="en-US"/>
        </w:rPr>
      </w:pPr>
      <w:r w:rsidRPr="00B55137">
        <w:rPr>
          <w:color w:val="FF0000"/>
          <w:lang w:val="en-US"/>
        </w:rPr>
        <w:t xml:space="preserve">The variant ‘country of residence of SPV’ in the taxonomy should be ‘country of residence of FVC’ as indicated in the manual. </w:t>
      </w:r>
    </w:p>
    <w:p w14:paraId="3DC5C5B2" w14:textId="673E14CE" w:rsidR="00B55137" w:rsidRDefault="00B55137" w:rsidP="009E345A">
      <w:pPr>
        <w:rPr>
          <w:lang w:val="en-US"/>
        </w:rPr>
      </w:pPr>
    </w:p>
    <w:p w14:paraId="53B10631" w14:textId="77777777" w:rsidR="00B55137" w:rsidRPr="007C4D4A" w:rsidRDefault="00B55137" w:rsidP="009E345A">
      <w:pPr>
        <w:rPr>
          <w:lang w:val="en-US"/>
        </w:rPr>
      </w:pPr>
    </w:p>
    <w:p w14:paraId="3B4AD00B" w14:textId="7B970B3E" w:rsidR="009E345A" w:rsidRPr="00AD27D7" w:rsidRDefault="009E345A" w:rsidP="009E345A">
      <w:pPr>
        <w:rPr>
          <w:b/>
          <w:lang w:val="en-US"/>
        </w:rPr>
      </w:pPr>
      <w:r>
        <w:rPr>
          <w:b/>
          <w:lang w:val="en-US"/>
        </w:rPr>
        <w:t>1.1</w:t>
      </w:r>
      <w:r w:rsidR="0051108D">
        <w:rPr>
          <w:b/>
          <w:lang w:val="en-US"/>
        </w:rPr>
        <w:t>3</w:t>
      </w:r>
      <w:r w:rsidRPr="008929E4">
        <w:rPr>
          <w:b/>
          <w:lang w:val="en-US"/>
        </w:rPr>
        <w:t xml:space="preserve"> </w:t>
      </w:r>
      <w:r>
        <w:rPr>
          <w:b/>
          <w:lang w:val="en-US"/>
        </w:rPr>
        <w:t>Form</w:t>
      </w:r>
      <w:r w:rsidRPr="008929E4">
        <w:rPr>
          <w:b/>
          <w:lang w:val="en-US"/>
        </w:rPr>
        <w:t xml:space="preserve"> T9013HK5 - Gross flows (sales/repurchases) of loans transferred to non-FVCs</w:t>
      </w:r>
      <w:r>
        <w:rPr>
          <w:b/>
          <w:lang w:val="en-US"/>
        </w:rPr>
        <w:t xml:space="preserve">. </w:t>
      </w:r>
      <w:r w:rsidRPr="00AD27D7">
        <w:rPr>
          <w:b/>
          <w:lang w:val="en-US"/>
        </w:rPr>
        <w:t>With impact on reported stock</w:t>
      </w:r>
    </w:p>
    <w:p w14:paraId="401C118F" w14:textId="77777777" w:rsidR="009E345A" w:rsidRPr="00AD27D7" w:rsidRDefault="009E345A" w:rsidP="009E345A">
      <w:pPr>
        <w:rPr>
          <w:b/>
          <w:lang w:val="en-US"/>
        </w:rPr>
      </w:pPr>
    </w:p>
    <w:p w14:paraId="0FDA7371" w14:textId="77777777" w:rsidR="009E345A" w:rsidRPr="006F3654" w:rsidRDefault="009E345A" w:rsidP="009E345A">
      <w:pPr>
        <w:rPr>
          <w:lang w:val="en-US"/>
        </w:rPr>
      </w:pPr>
      <w:r w:rsidRPr="006F3654">
        <w:rPr>
          <w:lang w:val="en-US"/>
        </w:rPr>
        <w:t>Lo</w:t>
      </w:r>
      <w:r>
        <w:rPr>
          <w:lang w:val="en-US"/>
        </w:rPr>
        <w:t>ans granted and deposits placed</w:t>
      </w:r>
      <w:r w:rsidRPr="006F3654">
        <w:rPr>
          <w:lang w:val="en-US"/>
        </w:rPr>
        <w:t xml:space="preserve"> now has the following maturity breakdown: </w:t>
      </w:r>
    </w:p>
    <w:p w14:paraId="4A8B7D62" w14:textId="77777777" w:rsidR="009E345A" w:rsidRPr="006F3654" w:rsidRDefault="009E345A" w:rsidP="009E345A">
      <w:pPr>
        <w:rPr>
          <w:lang w:val="en-US"/>
        </w:rPr>
      </w:pPr>
    </w:p>
    <w:p w14:paraId="6455EF71" w14:textId="77777777" w:rsidR="009E345A" w:rsidRDefault="009E345A" w:rsidP="009E345A">
      <w:pPr>
        <w:rPr>
          <w:lang w:val="en-US"/>
        </w:rPr>
      </w:pPr>
      <w:r>
        <w:rPr>
          <w:lang w:val="en-US"/>
        </w:rPr>
        <w:t>•</w:t>
      </w:r>
      <w:r>
        <w:rPr>
          <w:lang w:val="en-US"/>
        </w:rPr>
        <w:tab/>
        <w:t>Maturity &lt;= 1 year</w:t>
      </w:r>
    </w:p>
    <w:p w14:paraId="4FCFAFE5" w14:textId="77777777" w:rsidR="009E345A" w:rsidRDefault="009E345A" w:rsidP="009E345A">
      <w:pPr>
        <w:rPr>
          <w:lang w:val="en-US"/>
        </w:rPr>
      </w:pPr>
      <w:r>
        <w:rPr>
          <w:lang w:val="en-US"/>
        </w:rPr>
        <w:t>•</w:t>
      </w:r>
      <w:r>
        <w:rPr>
          <w:lang w:val="en-US"/>
        </w:rPr>
        <w:tab/>
        <w:t>&gt; 1 year maturity &lt;= 2 year</w:t>
      </w:r>
    </w:p>
    <w:p w14:paraId="6D9BC8F8" w14:textId="77777777" w:rsidR="009E345A" w:rsidRDefault="009E345A" w:rsidP="009E345A">
      <w:pPr>
        <w:rPr>
          <w:lang w:val="en-US"/>
        </w:rPr>
      </w:pPr>
      <w:r>
        <w:rPr>
          <w:lang w:val="en-US"/>
        </w:rPr>
        <w:t>•</w:t>
      </w:r>
      <w:r>
        <w:rPr>
          <w:lang w:val="en-US"/>
        </w:rPr>
        <w:tab/>
        <w:t>&gt; 2 year maturity &lt;= 5 year</w:t>
      </w:r>
    </w:p>
    <w:p w14:paraId="0C79B7B3" w14:textId="77777777" w:rsidR="009E345A" w:rsidRDefault="009E345A" w:rsidP="009E345A">
      <w:pPr>
        <w:rPr>
          <w:lang w:val="en-US"/>
        </w:rPr>
      </w:pPr>
      <w:r w:rsidRPr="00B37E8C">
        <w:rPr>
          <w:lang w:val="en-US"/>
        </w:rPr>
        <w:t>•</w:t>
      </w:r>
      <w:r w:rsidRPr="00B37E8C">
        <w:rPr>
          <w:lang w:val="en-US"/>
        </w:rPr>
        <w:tab/>
        <w:t>Maturity &gt; 5 year</w:t>
      </w:r>
    </w:p>
    <w:p w14:paraId="34890D31" w14:textId="77777777" w:rsidR="009E345A" w:rsidRPr="007C4D4A" w:rsidRDefault="009E345A" w:rsidP="009E345A">
      <w:pPr>
        <w:rPr>
          <w:lang w:val="en-US"/>
        </w:rPr>
      </w:pPr>
      <w:r w:rsidRPr="001A491A">
        <w:rPr>
          <w:lang w:val="en-US"/>
        </w:rPr>
        <w:t>On the z-axis, dimension Counterparty country/group of transfer</w:t>
      </w:r>
      <w:r>
        <w:rPr>
          <w:lang w:val="en-US"/>
        </w:rPr>
        <w:t xml:space="preserve"> now has a breakdown </w:t>
      </w:r>
      <w:r w:rsidRPr="00A92A12">
        <w:rPr>
          <w:lang w:val="en-US"/>
        </w:rPr>
        <w:t>to</w:t>
      </w:r>
      <w:r>
        <w:rPr>
          <w:lang w:val="en-US"/>
        </w:rPr>
        <w:t xml:space="preserve"> </w:t>
      </w:r>
      <w:r w:rsidRPr="00A92A12">
        <w:rPr>
          <w:lang w:val="en-US"/>
        </w:rPr>
        <w:t>Netherlands</w:t>
      </w:r>
      <w:r>
        <w:rPr>
          <w:lang w:val="en-US"/>
        </w:rPr>
        <w:t xml:space="preserve">, rest of euro area (U5) and rest of the world [outside EMU area] (U4). </w:t>
      </w:r>
    </w:p>
    <w:p w14:paraId="08CBEF5D" w14:textId="77777777" w:rsidR="009E345A" w:rsidRPr="007C4D4A" w:rsidRDefault="009E345A" w:rsidP="009E345A">
      <w:pPr>
        <w:rPr>
          <w:lang w:val="en-US"/>
        </w:rPr>
      </w:pPr>
    </w:p>
    <w:p w14:paraId="12AA7F1B" w14:textId="77777777" w:rsidR="009E345A" w:rsidRDefault="009E345A" w:rsidP="009E345A">
      <w:pPr>
        <w:rPr>
          <w:lang w:val="en-US"/>
        </w:rPr>
      </w:pPr>
      <w:r>
        <w:rPr>
          <w:lang w:val="en-US"/>
        </w:rPr>
        <w:t>On the z-axis, the additional d</w:t>
      </w:r>
      <w:r w:rsidRPr="00526350">
        <w:rPr>
          <w:lang w:val="en-US"/>
        </w:rPr>
        <w:t xml:space="preserve">imension </w:t>
      </w:r>
      <w:r>
        <w:rPr>
          <w:lang w:val="en-US"/>
        </w:rPr>
        <w:t>‘</w:t>
      </w:r>
      <w:r w:rsidRPr="00526350">
        <w:rPr>
          <w:lang w:val="en-US"/>
        </w:rPr>
        <w:t>Servicer</w:t>
      </w:r>
      <w:r>
        <w:rPr>
          <w:lang w:val="en-US"/>
        </w:rPr>
        <w:t>’</w:t>
      </w:r>
      <w:r w:rsidRPr="00526350">
        <w:rPr>
          <w:lang w:val="en-US"/>
        </w:rPr>
        <w:t xml:space="preserve"> has been added.</w:t>
      </w:r>
      <w:r>
        <w:rPr>
          <w:lang w:val="en-US"/>
        </w:rPr>
        <w:t xml:space="preserve"> </w:t>
      </w:r>
      <w:r w:rsidRPr="00526350">
        <w:rPr>
          <w:lang w:val="en-US"/>
        </w:rPr>
        <w:t xml:space="preserve"> </w:t>
      </w:r>
    </w:p>
    <w:p w14:paraId="31DAEAC1" w14:textId="77777777" w:rsidR="009E345A" w:rsidRPr="00A92A12" w:rsidRDefault="009E345A" w:rsidP="009E345A">
      <w:pPr>
        <w:rPr>
          <w:lang w:val="en-US"/>
        </w:rPr>
      </w:pPr>
    </w:p>
    <w:p w14:paraId="1021DDB7" w14:textId="77777777" w:rsidR="0051108D" w:rsidRPr="0051108D" w:rsidRDefault="0051108D" w:rsidP="0051108D">
      <w:pPr>
        <w:rPr>
          <w:color w:val="FF0000"/>
          <w:lang w:val="en-US"/>
        </w:rPr>
      </w:pPr>
      <w:r w:rsidRPr="0051108D">
        <w:rPr>
          <w:color w:val="FF0000"/>
          <w:lang w:val="en-US"/>
        </w:rPr>
        <w:lastRenderedPageBreak/>
        <w:t>In version 2.0.1. the options for ‘Servicer’ are ‘Acting as servicer/Not acting as servicer’, which was ‘Yes/No’ before.</w:t>
      </w:r>
    </w:p>
    <w:p w14:paraId="366CAD94" w14:textId="77777777" w:rsidR="009E345A" w:rsidRDefault="009E345A" w:rsidP="009E345A">
      <w:pPr>
        <w:rPr>
          <w:b/>
          <w:sz w:val="22"/>
          <w:szCs w:val="22"/>
          <w:lang w:val="en-US"/>
        </w:rPr>
      </w:pPr>
    </w:p>
    <w:p w14:paraId="17B17BFF" w14:textId="77777777" w:rsidR="009E345A" w:rsidRDefault="009E345A" w:rsidP="009E345A">
      <w:pPr>
        <w:rPr>
          <w:b/>
          <w:sz w:val="22"/>
          <w:szCs w:val="22"/>
          <w:lang w:val="en-US"/>
        </w:rPr>
      </w:pPr>
    </w:p>
    <w:p w14:paraId="0EEEAE05" w14:textId="77777777" w:rsidR="009E345A" w:rsidRDefault="009E345A" w:rsidP="009E345A">
      <w:pPr>
        <w:rPr>
          <w:b/>
          <w:sz w:val="22"/>
          <w:szCs w:val="22"/>
          <w:lang w:val="en-US"/>
        </w:rPr>
      </w:pPr>
    </w:p>
    <w:p w14:paraId="7596BB1F" w14:textId="77777777" w:rsidR="009E345A" w:rsidRDefault="009E345A" w:rsidP="009E345A">
      <w:pPr>
        <w:rPr>
          <w:b/>
          <w:sz w:val="22"/>
          <w:szCs w:val="22"/>
          <w:lang w:val="en-US"/>
        </w:rPr>
      </w:pPr>
      <w:r>
        <w:rPr>
          <w:b/>
          <w:sz w:val="22"/>
          <w:szCs w:val="22"/>
          <w:lang w:val="en-US"/>
        </w:rPr>
        <w:t>2</w:t>
      </w:r>
      <w:r w:rsidRPr="00C47858">
        <w:rPr>
          <w:b/>
          <w:sz w:val="22"/>
          <w:szCs w:val="22"/>
          <w:lang w:val="en-US"/>
        </w:rPr>
        <w:t xml:space="preserve">. </w:t>
      </w:r>
      <w:r w:rsidRPr="008859EC">
        <w:rPr>
          <w:b/>
          <w:sz w:val="22"/>
          <w:szCs w:val="22"/>
          <w:lang w:val="en-US"/>
        </w:rPr>
        <w:t>Addition of new forms</w:t>
      </w:r>
    </w:p>
    <w:p w14:paraId="32959524" w14:textId="77777777" w:rsidR="009E345A" w:rsidRDefault="009E345A" w:rsidP="009E345A">
      <w:pPr>
        <w:rPr>
          <w:b/>
          <w:sz w:val="22"/>
          <w:szCs w:val="22"/>
          <w:lang w:val="en-US"/>
        </w:rPr>
      </w:pPr>
    </w:p>
    <w:p w14:paraId="2F8749BD" w14:textId="77777777" w:rsidR="009E345A" w:rsidRDefault="009E345A" w:rsidP="009E345A">
      <w:pPr>
        <w:rPr>
          <w:b/>
          <w:lang w:val="en-US"/>
        </w:rPr>
      </w:pPr>
      <w:r>
        <w:rPr>
          <w:b/>
          <w:lang w:val="en-US"/>
        </w:rPr>
        <w:t>2.1</w:t>
      </w:r>
      <w:r w:rsidRPr="008929E4">
        <w:rPr>
          <w:b/>
          <w:lang w:val="en-US"/>
        </w:rPr>
        <w:t xml:space="preserve"> </w:t>
      </w:r>
      <w:r>
        <w:rPr>
          <w:b/>
          <w:lang w:val="en-US"/>
        </w:rPr>
        <w:t>Form</w:t>
      </w:r>
      <w:r w:rsidRPr="008929E4">
        <w:rPr>
          <w:b/>
          <w:lang w:val="en-US"/>
        </w:rPr>
        <w:t xml:space="preserve"> </w:t>
      </w:r>
      <w:r w:rsidRPr="00EB30A2">
        <w:rPr>
          <w:b/>
          <w:lang w:val="en-US"/>
        </w:rPr>
        <w:t xml:space="preserve">T9013HK6 - Outstanding amount of loans transferred to non-FVCs and serviced by reporting agent. </w:t>
      </w:r>
      <w:r w:rsidRPr="00AD27D7">
        <w:rPr>
          <w:b/>
          <w:lang w:val="en-US"/>
        </w:rPr>
        <w:t>With impact on reported stock</w:t>
      </w:r>
    </w:p>
    <w:p w14:paraId="7424B252" w14:textId="7FF1D8F9" w:rsidR="009E345A" w:rsidRDefault="009E345A" w:rsidP="009E345A">
      <w:pPr>
        <w:rPr>
          <w:b/>
          <w:sz w:val="22"/>
          <w:szCs w:val="22"/>
          <w:lang w:val="en-US"/>
        </w:rPr>
      </w:pPr>
    </w:p>
    <w:p w14:paraId="1D6E4FBB" w14:textId="77777777" w:rsidR="0051108D" w:rsidRPr="0051108D" w:rsidRDefault="0051108D" w:rsidP="0051108D">
      <w:pPr>
        <w:rPr>
          <w:color w:val="FF0000"/>
          <w:lang w:val="en-US"/>
        </w:rPr>
      </w:pPr>
      <w:r w:rsidRPr="0051108D">
        <w:rPr>
          <w:color w:val="FF0000"/>
          <w:lang w:val="en-US"/>
        </w:rPr>
        <w:t>In version 2.0.1. the options for ‘Servicer’ are ‘Acting as servicer/Not acting as servicer’, which was ‘Yes/No’ before.</w:t>
      </w:r>
    </w:p>
    <w:p w14:paraId="7C1DC728" w14:textId="77777777" w:rsidR="0051108D" w:rsidRPr="00AD27D7" w:rsidRDefault="0051108D" w:rsidP="009E345A">
      <w:pPr>
        <w:rPr>
          <w:b/>
          <w:sz w:val="22"/>
          <w:szCs w:val="22"/>
          <w:lang w:val="en-US"/>
        </w:rPr>
      </w:pPr>
    </w:p>
    <w:p w14:paraId="0324349C" w14:textId="2B77AABE" w:rsidR="0051108D" w:rsidRDefault="009E345A" w:rsidP="009E345A">
      <w:pPr>
        <w:rPr>
          <w:b/>
          <w:lang w:val="en-US"/>
        </w:rPr>
      </w:pPr>
      <w:r>
        <w:rPr>
          <w:b/>
          <w:lang w:val="en-US"/>
        </w:rPr>
        <w:t>2.2</w:t>
      </w:r>
      <w:r w:rsidRPr="008929E4">
        <w:rPr>
          <w:b/>
          <w:lang w:val="en-US"/>
        </w:rPr>
        <w:t xml:space="preserve"> </w:t>
      </w:r>
      <w:r>
        <w:rPr>
          <w:b/>
          <w:lang w:val="en-US"/>
        </w:rPr>
        <w:t>Form</w:t>
      </w:r>
      <w:r w:rsidRPr="008929E4">
        <w:rPr>
          <w:b/>
          <w:lang w:val="en-US"/>
        </w:rPr>
        <w:t xml:space="preserve"> </w:t>
      </w:r>
      <w:r w:rsidRPr="00840B48">
        <w:rPr>
          <w:b/>
          <w:lang w:val="en-US"/>
        </w:rPr>
        <w:t xml:space="preserve">T9013HK7 - Net flows (sales less repurchases) of loans transferred to non-FVCs. </w:t>
      </w:r>
      <w:r w:rsidRPr="00AD27D7">
        <w:rPr>
          <w:b/>
          <w:lang w:val="en-US"/>
        </w:rPr>
        <w:t>Without impact on reported stock</w:t>
      </w:r>
    </w:p>
    <w:p w14:paraId="28DE1696" w14:textId="7B70FC7C" w:rsidR="0051108D" w:rsidRPr="007726FD" w:rsidRDefault="0051108D" w:rsidP="009E345A">
      <w:pPr>
        <w:rPr>
          <w:color w:val="FF0000"/>
          <w:lang w:val="en-US"/>
        </w:rPr>
      </w:pPr>
      <w:r w:rsidRPr="007726FD">
        <w:rPr>
          <w:color w:val="FF0000"/>
          <w:lang w:val="en-US"/>
        </w:rPr>
        <w:t xml:space="preserve">Adjustments in the conceptual framework of the form; </w:t>
      </w:r>
      <w:r w:rsidR="007726FD" w:rsidRPr="007726FD">
        <w:rPr>
          <w:color w:val="FF0000"/>
          <w:lang w:val="en-US"/>
        </w:rPr>
        <w:t xml:space="preserve">‘type of measure’ </w:t>
      </w:r>
      <w:r w:rsidR="00CF6704">
        <w:rPr>
          <w:color w:val="FF0000"/>
          <w:lang w:val="en-US"/>
        </w:rPr>
        <w:t>has changed to ‘Transaction and</w:t>
      </w:r>
      <w:r w:rsidR="007726FD" w:rsidRPr="007726FD">
        <w:rPr>
          <w:color w:val="FF0000"/>
          <w:lang w:val="en-US"/>
        </w:rPr>
        <w:t xml:space="preserve"> ‘measure’</w:t>
      </w:r>
      <w:r w:rsidR="00CF6704">
        <w:rPr>
          <w:color w:val="FF0000"/>
          <w:lang w:val="en-US"/>
        </w:rPr>
        <w:t xml:space="preserve"> (=Net flows)</w:t>
      </w:r>
      <w:r w:rsidR="007726FD" w:rsidRPr="007726FD">
        <w:rPr>
          <w:color w:val="FF0000"/>
          <w:lang w:val="en-US"/>
        </w:rPr>
        <w:t xml:space="preserve"> </w:t>
      </w:r>
      <w:r w:rsidR="00CF6704">
        <w:rPr>
          <w:color w:val="FF0000"/>
          <w:lang w:val="en-US"/>
        </w:rPr>
        <w:t>has</w:t>
      </w:r>
      <w:r w:rsidR="007726FD" w:rsidRPr="007726FD">
        <w:rPr>
          <w:color w:val="FF0000"/>
          <w:lang w:val="en-US"/>
        </w:rPr>
        <w:t xml:space="preserve"> been added.  </w:t>
      </w:r>
    </w:p>
    <w:p w14:paraId="4935F73F" w14:textId="77777777" w:rsidR="009E345A" w:rsidRPr="007C4D4A" w:rsidRDefault="009E345A" w:rsidP="009E345A">
      <w:pPr>
        <w:rPr>
          <w:lang w:val="en-US"/>
        </w:rPr>
      </w:pPr>
    </w:p>
    <w:p w14:paraId="365B0534" w14:textId="77777777" w:rsidR="009E345A" w:rsidRPr="00AD27D7" w:rsidRDefault="009E345A" w:rsidP="009E345A">
      <w:pPr>
        <w:rPr>
          <w:b/>
          <w:sz w:val="22"/>
          <w:szCs w:val="22"/>
          <w:lang w:val="en-US"/>
        </w:rPr>
      </w:pPr>
      <w:r>
        <w:rPr>
          <w:b/>
          <w:lang w:val="en-US"/>
        </w:rPr>
        <w:t>2.3</w:t>
      </w:r>
      <w:r w:rsidRPr="008929E4">
        <w:rPr>
          <w:b/>
          <w:lang w:val="en-US"/>
        </w:rPr>
        <w:t xml:space="preserve"> </w:t>
      </w:r>
      <w:r>
        <w:rPr>
          <w:b/>
          <w:lang w:val="en-US"/>
        </w:rPr>
        <w:t>Form</w:t>
      </w:r>
      <w:r w:rsidRPr="008929E4">
        <w:rPr>
          <w:b/>
          <w:lang w:val="en-US"/>
        </w:rPr>
        <w:t xml:space="preserve"> </w:t>
      </w:r>
      <w:r w:rsidRPr="00840B48">
        <w:rPr>
          <w:b/>
          <w:lang w:val="en-US"/>
        </w:rPr>
        <w:t xml:space="preserve">T9013HK8 - Outstanding amount of loans transferred to non-FVCs and serviced by reporting agent. </w:t>
      </w:r>
      <w:r w:rsidRPr="00AD27D7">
        <w:rPr>
          <w:b/>
          <w:lang w:val="en-US"/>
        </w:rPr>
        <w:t>Without impact on reported stock</w:t>
      </w:r>
    </w:p>
    <w:p w14:paraId="5CE36325" w14:textId="77777777" w:rsidR="009E345A" w:rsidRPr="007C4D4A" w:rsidRDefault="009E345A" w:rsidP="009E345A">
      <w:pPr>
        <w:rPr>
          <w:lang w:val="en-US"/>
        </w:rPr>
      </w:pPr>
    </w:p>
    <w:p w14:paraId="1A5F78AE" w14:textId="77777777" w:rsidR="009E345A" w:rsidRPr="00253962" w:rsidRDefault="009E345A" w:rsidP="009E345A">
      <w:pPr>
        <w:rPr>
          <w:b/>
          <w:sz w:val="22"/>
          <w:szCs w:val="22"/>
          <w:lang w:val="en-US"/>
        </w:rPr>
      </w:pPr>
      <w:r>
        <w:rPr>
          <w:b/>
          <w:lang w:val="en-US"/>
        </w:rPr>
        <w:t>2.4</w:t>
      </w:r>
      <w:r w:rsidRPr="008929E4">
        <w:rPr>
          <w:b/>
          <w:lang w:val="en-US"/>
        </w:rPr>
        <w:t xml:space="preserve"> </w:t>
      </w:r>
      <w:r>
        <w:rPr>
          <w:b/>
          <w:lang w:val="en-US"/>
        </w:rPr>
        <w:t>Form</w:t>
      </w:r>
      <w:r w:rsidRPr="008929E4">
        <w:rPr>
          <w:b/>
          <w:lang w:val="en-US"/>
        </w:rPr>
        <w:t xml:space="preserve"> </w:t>
      </w:r>
      <w:r w:rsidRPr="00253962">
        <w:rPr>
          <w:b/>
          <w:lang w:val="en-US"/>
        </w:rPr>
        <w:t xml:space="preserve">T9017HK1 - Write-downs and other price revaluations on outstanding amounts of </w:t>
      </w:r>
      <w:proofErr w:type="spellStart"/>
      <w:r w:rsidRPr="00253962">
        <w:rPr>
          <w:b/>
          <w:lang w:val="en-US"/>
        </w:rPr>
        <w:t>securitised</w:t>
      </w:r>
      <w:proofErr w:type="spellEnd"/>
      <w:r w:rsidRPr="00253962">
        <w:rPr>
          <w:b/>
          <w:lang w:val="en-US"/>
        </w:rPr>
        <w:t xml:space="preserve"> loans to FVC ('</w:t>
      </w:r>
      <w:proofErr w:type="spellStart"/>
      <w:r w:rsidRPr="00253962">
        <w:rPr>
          <w:b/>
          <w:lang w:val="en-US"/>
        </w:rPr>
        <w:t>derecognised</w:t>
      </w:r>
      <w:proofErr w:type="spellEnd"/>
      <w:r w:rsidRPr="00253962">
        <w:rPr>
          <w:b/>
          <w:lang w:val="en-US"/>
        </w:rPr>
        <w:t>') and serviced by reporting agent</w:t>
      </w:r>
    </w:p>
    <w:p w14:paraId="5BA576D0" w14:textId="685515D6" w:rsidR="009E345A" w:rsidRDefault="009E345A" w:rsidP="009E345A">
      <w:pPr>
        <w:rPr>
          <w:b/>
          <w:lang w:val="en-US"/>
        </w:rPr>
      </w:pPr>
    </w:p>
    <w:p w14:paraId="78C63E68" w14:textId="1DB513D5" w:rsidR="00AB4F33" w:rsidRPr="00B55137" w:rsidRDefault="00AB4F33" w:rsidP="009E345A">
      <w:pPr>
        <w:rPr>
          <w:color w:val="FF0000"/>
          <w:lang w:val="en-US"/>
        </w:rPr>
      </w:pPr>
      <w:r w:rsidRPr="0051108D">
        <w:rPr>
          <w:color w:val="FF0000"/>
          <w:lang w:val="en-US"/>
        </w:rPr>
        <w:t xml:space="preserve">A Boolean is added for ‘Servicer’. </w:t>
      </w:r>
    </w:p>
    <w:p w14:paraId="3F7C1CBB" w14:textId="17670ACD" w:rsidR="00B55137" w:rsidRDefault="00B55137" w:rsidP="009E345A">
      <w:pPr>
        <w:rPr>
          <w:b/>
          <w:lang w:val="en-US"/>
        </w:rPr>
      </w:pPr>
    </w:p>
    <w:p w14:paraId="569498C1" w14:textId="77777777" w:rsidR="00B55137" w:rsidRPr="00B55137" w:rsidRDefault="00B55137" w:rsidP="00B55137">
      <w:pPr>
        <w:rPr>
          <w:color w:val="FF0000"/>
          <w:lang w:val="en-US"/>
        </w:rPr>
      </w:pPr>
      <w:r w:rsidRPr="00B55137">
        <w:rPr>
          <w:color w:val="FF0000"/>
          <w:lang w:val="en-US"/>
        </w:rPr>
        <w:t xml:space="preserve">The variant ‘country of residence of SPV’ in the taxonomy should be ‘country of residence of FVC’ as indicated in the manual. </w:t>
      </w:r>
    </w:p>
    <w:p w14:paraId="67161E48" w14:textId="77777777" w:rsidR="00B55137" w:rsidRDefault="00B55137" w:rsidP="009E345A">
      <w:pPr>
        <w:rPr>
          <w:b/>
          <w:lang w:val="en-US"/>
        </w:rPr>
      </w:pPr>
    </w:p>
    <w:p w14:paraId="75CBEDF7" w14:textId="77777777" w:rsidR="009E345A" w:rsidRDefault="009E345A" w:rsidP="009E345A">
      <w:pPr>
        <w:rPr>
          <w:b/>
          <w:lang w:val="en-US"/>
        </w:rPr>
      </w:pPr>
      <w:r>
        <w:rPr>
          <w:b/>
          <w:lang w:val="en-US"/>
        </w:rPr>
        <w:t>2.5</w:t>
      </w:r>
      <w:r w:rsidRPr="008929E4">
        <w:rPr>
          <w:b/>
          <w:lang w:val="en-US"/>
        </w:rPr>
        <w:t xml:space="preserve"> </w:t>
      </w:r>
      <w:r>
        <w:rPr>
          <w:b/>
          <w:lang w:val="en-US"/>
        </w:rPr>
        <w:t>Form</w:t>
      </w:r>
      <w:r w:rsidRPr="008929E4">
        <w:rPr>
          <w:b/>
          <w:lang w:val="en-US"/>
        </w:rPr>
        <w:t xml:space="preserve"> </w:t>
      </w:r>
      <w:r w:rsidRPr="00253962">
        <w:rPr>
          <w:b/>
          <w:lang w:val="en-US"/>
        </w:rPr>
        <w:t xml:space="preserve">T9017HK2 - Write-downs and other price revaluations on outstanding amounts of </w:t>
      </w:r>
      <w:proofErr w:type="spellStart"/>
      <w:r w:rsidRPr="00253962">
        <w:rPr>
          <w:b/>
          <w:lang w:val="en-US"/>
        </w:rPr>
        <w:t>securitised</w:t>
      </w:r>
      <w:proofErr w:type="spellEnd"/>
      <w:r w:rsidRPr="00253962">
        <w:rPr>
          <w:b/>
          <w:lang w:val="en-US"/>
        </w:rPr>
        <w:t xml:space="preserve"> loans not transferred to FVC ('not </w:t>
      </w:r>
      <w:proofErr w:type="spellStart"/>
      <w:r w:rsidRPr="00253962">
        <w:rPr>
          <w:b/>
          <w:lang w:val="en-US"/>
        </w:rPr>
        <w:t>derecognised</w:t>
      </w:r>
      <w:proofErr w:type="spellEnd"/>
      <w:r w:rsidRPr="00253962">
        <w:rPr>
          <w:b/>
          <w:lang w:val="en-US"/>
        </w:rPr>
        <w:t>')</w:t>
      </w:r>
    </w:p>
    <w:p w14:paraId="54444C93" w14:textId="77777777" w:rsidR="00B55137" w:rsidRDefault="00B55137" w:rsidP="00B55137">
      <w:pPr>
        <w:rPr>
          <w:color w:val="FF0000"/>
          <w:lang w:val="en-US"/>
        </w:rPr>
      </w:pPr>
    </w:p>
    <w:p w14:paraId="46C6A58D" w14:textId="4DC9DD86" w:rsidR="00B55137" w:rsidRPr="00B55137" w:rsidRDefault="00B55137" w:rsidP="00B55137">
      <w:pPr>
        <w:rPr>
          <w:color w:val="FF0000"/>
          <w:lang w:val="en-US"/>
        </w:rPr>
      </w:pPr>
      <w:r w:rsidRPr="00B55137">
        <w:rPr>
          <w:color w:val="FF0000"/>
          <w:lang w:val="en-US"/>
        </w:rPr>
        <w:t xml:space="preserve">The variant ‘country of residence of SPV’ in the taxonomy should be ‘country of residence of FVC’ as indicated in the manual. </w:t>
      </w:r>
    </w:p>
    <w:p w14:paraId="2B7505DB" w14:textId="77777777" w:rsidR="009E345A" w:rsidRPr="007C4D4A" w:rsidRDefault="009E345A" w:rsidP="009E345A">
      <w:pPr>
        <w:rPr>
          <w:lang w:val="en-US"/>
        </w:rPr>
      </w:pPr>
    </w:p>
    <w:p w14:paraId="436E7667" w14:textId="77777777" w:rsidR="009E345A" w:rsidRPr="00AD27D7" w:rsidRDefault="009E345A" w:rsidP="009E345A">
      <w:pPr>
        <w:rPr>
          <w:b/>
          <w:lang w:val="en-US"/>
        </w:rPr>
      </w:pPr>
      <w:r>
        <w:rPr>
          <w:b/>
          <w:lang w:val="en-US"/>
        </w:rPr>
        <w:t>2.6</w:t>
      </w:r>
      <w:r w:rsidRPr="008929E4">
        <w:rPr>
          <w:b/>
          <w:lang w:val="en-US"/>
        </w:rPr>
        <w:t xml:space="preserve"> </w:t>
      </w:r>
      <w:r>
        <w:rPr>
          <w:b/>
          <w:lang w:val="en-US"/>
        </w:rPr>
        <w:t>Form</w:t>
      </w:r>
      <w:r w:rsidRPr="008929E4">
        <w:rPr>
          <w:b/>
          <w:lang w:val="en-US"/>
        </w:rPr>
        <w:t xml:space="preserve"> </w:t>
      </w:r>
      <w:r w:rsidRPr="00B46AFC">
        <w:rPr>
          <w:b/>
          <w:lang w:val="en-US"/>
        </w:rPr>
        <w:t xml:space="preserve">T9017HK3 - Write-downs and other price revaluations on outstanding amounts of loans transferred to non-FVCs. </w:t>
      </w:r>
      <w:r w:rsidRPr="00AD27D7">
        <w:rPr>
          <w:b/>
          <w:lang w:val="en-US"/>
        </w:rPr>
        <w:t>With impact on reported stock</w:t>
      </w:r>
    </w:p>
    <w:p w14:paraId="7FC13112" w14:textId="769D9989" w:rsidR="009E345A" w:rsidRDefault="009E345A" w:rsidP="009E345A">
      <w:pPr>
        <w:rPr>
          <w:lang w:val="en-US"/>
        </w:rPr>
      </w:pPr>
    </w:p>
    <w:p w14:paraId="17180F6A" w14:textId="792C7F99" w:rsidR="00AB4F33" w:rsidRPr="00AB4F33" w:rsidRDefault="00AB4F33" w:rsidP="009E345A">
      <w:pPr>
        <w:rPr>
          <w:color w:val="FF0000"/>
          <w:lang w:val="en-US"/>
        </w:rPr>
      </w:pPr>
      <w:r w:rsidRPr="0051108D">
        <w:rPr>
          <w:color w:val="FF0000"/>
          <w:lang w:val="en-US"/>
        </w:rPr>
        <w:t xml:space="preserve">A Boolean is added for ‘Servicer’. </w:t>
      </w:r>
    </w:p>
    <w:p w14:paraId="482B02E9" w14:textId="77777777" w:rsidR="00AB4F33" w:rsidRPr="007C4D4A" w:rsidRDefault="00AB4F33" w:rsidP="009E345A">
      <w:pPr>
        <w:rPr>
          <w:lang w:val="en-US"/>
        </w:rPr>
      </w:pPr>
    </w:p>
    <w:p w14:paraId="31846FB5" w14:textId="77777777" w:rsidR="009E345A" w:rsidRPr="00AD27D7" w:rsidRDefault="009E345A" w:rsidP="009E345A">
      <w:pPr>
        <w:rPr>
          <w:b/>
          <w:lang w:val="en-US"/>
        </w:rPr>
      </w:pPr>
      <w:r>
        <w:rPr>
          <w:b/>
          <w:lang w:val="en-US"/>
        </w:rPr>
        <w:t>2.7</w:t>
      </w:r>
      <w:r w:rsidRPr="008929E4">
        <w:rPr>
          <w:b/>
          <w:lang w:val="en-US"/>
        </w:rPr>
        <w:t xml:space="preserve"> </w:t>
      </w:r>
      <w:r>
        <w:rPr>
          <w:b/>
          <w:lang w:val="en-US"/>
        </w:rPr>
        <w:t>Form</w:t>
      </w:r>
      <w:r w:rsidRPr="008929E4">
        <w:rPr>
          <w:b/>
          <w:lang w:val="en-US"/>
        </w:rPr>
        <w:t xml:space="preserve"> </w:t>
      </w:r>
      <w:r w:rsidRPr="00B46AFC">
        <w:rPr>
          <w:b/>
          <w:lang w:val="en-US"/>
        </w:rPr>
        <w:t xml:space="preserve">T9017HK4 - Write-downs and other price revaluations on outstanding amounts of loans transferred to non-FVCs. </w:t>
      </w:r>
      <w:r w:rsidRPr="00AD27D7">
        <w:rPr>
          <w:b/>
          <w:lang w:val="en-US"/>
        </w:rPr>
        <w:t>Without impact on reported stock</w:t>
      </w:r>
    </w:p>
    <w:p w14:paraId="40BE4972" w14:textId="02ECEA0C" w:rsidR="009E345A" w:rsidRDefault="009E345A" w:rsidP="009E345A">
      <w:pPr>
        <w:rPr>
          <w:lang w:val="en-US"/>
        </w:rPr>
      </w:pPr>
    </w:p>
    <w:p w14:paraId="0935D67F" w14:textId="26086857" w:rsidR="00AB4F33" w:rsidRPr="00AB4F33" w:rsidRDefault="00AB4F33" w:rsidP="009E345A">
      <w:pPr>
        <w:rPr>
          <w:color w:val="FF0000"/>
          <w:lang w:val="en-US"/>
        </w:rPr>
      </w:pPr>
      <w:r w:rsidRPr="00AB4F33">
        <w:rPr>
          <w:color w:val="FF0000"/>
          <w:lang w:val="en-US"/>
        </w:rPr>
        <w:t>In version 2.0.1. the Hierarchy has changed from ‘Country of origin SPV’ to ‘Counterparty of transfer’</w:t>
      </w:r>
    </w:p>
    <w:p w14:paraId="50EF5F5A" w14:textId="77777777" w:rsidR="00AB4F33" w:rsidRPr="00AD27D7" w:rsidRDefault="00AB4F33" w:rsidP="009E345A">
      <w:pPr>
        <w:rPr>
          <w:lang w:val="en-US"/>
        </w:rPr>
      </w:pPr>
    </w:p>
    <w:p w14:paraId="5F147A52" w14:textId="77777777" w:rsidR="009E345A" w:rsidRPr="008859EC" w:rsidRDefault="009E345A" w:rsidP="009E345A">
      <w:pPr>
        <w:rPr>
          <w:b/>
          <w:sz w:val="22"/>
          <w:szCs w:val="22"/>
          <w:lang w:val="en-US"/>
        </w:rPr>
      </w:pPr>
      <w:r w:rsidRPr="008859EC">
        <w:rPr>
          <w:b/>
          <w:sz w:val="22"/>
          <w:szCs w:val="22"/>
          <w:lang w:val="en-US"/>
        </w:rPr>
        <w:t>3. Adjustment of validation rules</w:t>
      </w:r>
    </w:p>
    <w:p w14:paraId="2FA588D0" w14:textId="77777777" w:rsidR="009E345A" w:rsidRPr="008859EC" w:rsidRDefault="009E345A" w:rsidP="009E345A">
      <w:pPr>
        <w:rPr>
          <w:b/>
          <w:sz w:val="22"/>
          <w:szCs w:val="22"/>
          <w:lang w:val="en-US"/>
        </w:rPr>
      </w:pPr>
    </w:p>
    <w:p w14:paraId="7C7E520D" w14:textId="329690D6" w:rsidR="009E345A" w:rsidRPr="008859EC" w:rsidRDefault="009E345A" w:rsidP="009E345A">
      <w:pPr>
        <w:rPr>
          <w:lang w:val="en-US"/>
        </w:rPr>
      </w:pPr>
      <w:r w:rsidRPr="008859EC">
        <w:rPr>
          <w:lang w:val="en-US"/>
        </w:rPr>
        <w:lastRenderedPageBreak/>
        <w:t>The updated BSI taxonomy</w:t>
      </w:r>
      <w:r>
        <w:rPr>
          <w:lang w:val="en-US"/>
        </w:rPr>
        <w:t xml:space="preserve"> has a list of </w:t>
      </w:r>
      <w:r w:rsidRPr="00AB4F33">
        <w:rPr>
          <w:color w:val="FF0000"/>
          <w:lang w:val="en-US"/>
        </w:rPr>
        <w:t>3</w:t>
      </w:r>
      <w:r w:rsidR="00AB4F33" w:rsidRPr="00AB4F33">
        <w:rPr>
          <w:color w:val="FF0000"/>
          <w:lang w:val="en-US"/>
        </w:rPr>
        <w:t>28</w:t>
      </w:r>
      <w:r w:rsidRPr="00AB4F33">
        <w:rPr>
          <w:color w:val="FF0000"/>
          <w:lang w:val="en-US"/>
        </w:rPr>
        <w:t xml:space="preserve"> assertions </w:t>
      </w:r>
      <w:r>
        <w:rPr>
          <w:lang w:val="en-US"/>
        </w:rPr>
        <w:t>(see Excel tab ‘Assertions’).</w:t>
      </w:r>
    </w:p>
    <w:p w14:paraId="151EA94C" w14:textId="77777777" w:rsidR="009E345A" w:rsidRDefault="009E345A" w:rsidP="009E345A">
      <w:pPr>
        <w:rPr>
          <w:lang w:val="en-US"/>
        </w:rPr>
      </w:pPr>
      <w:r>
        <w:rPr>
          <w:lang w:val="en-US"/>
        </w:rPr>
        <w:t xml:space="preserve">New assertions defined for tables 9013 and 9017 are in alignment with the ones previously existing in the 9013 series. All of the validation rules are non-blocking; however, validation rules can be taken into account in DNB’s assessment process and can lead to additional questions. </w:t>
      </w:r>
    </w:p>
    <w:p w14:paraId="545183BA" w14:textId="77777777" w:rsidR="009E345A" w:rsidRPr="00C57ABC" w:rsidRDefault="009E345A" w:rsidP="009E345A">
      <w:pPr>
        <w:rPr>
          <w:lang w:val="en-US"/>
        </w:rPr>
      </w:pPr>
    </w:p>
    <w:p w14:paraId="56375C79" w14:textId="77777777" w:rsidR="009E345A" w:rsidRPr="009217AA" w:rsidRDefault="009E345A" w:rsidP="009E345A">
      <w:pPr>
        <w:rPr>
          <w:b/>
          <w:sz w:val="22"/>
          <w:szCs w:val="22"/>
          <w:lang w:val="en-US"/>
        </w:rPr>
      </w:pPr>
      <w:r w:rsidRPr="009217AA">
        <w:rPr>
          <w:b/>
          <w:sz w:val="22"/>
          <w:szCs w:val="22"/>
          <w:lang w:val="en-US"/>
        </w:rPr>
        <w:t>4. Adjustment of the country tables</w:t>
      </w:r>
    </w:p>
    <w:p w14:paraId="24E368FF" w14:textId="77777777" w:rsidR="009E345A" w:rsidRPr="009217AA" w:rsidRDefault="009E345A" w:rsidP="009E345A">
      <w:pPr>
        <w:autoSpaceDE w:val="0"/>
        <w:autoSpaceDN w:val="0"/>
        <w:adjustRightInd w:val="0"/>
        <w:spacing w:line="240" w:lineRule="auto"/>
        <w:rPr>
          <w:rFonts w:cs="Verdana"/>
          <w:color w:val="000000"/>
          <w:sz w:val="24"/>
          <w:szCs w:val="24"/>
          <w:lang w:val="en-US"/>
        </w:rPr>
      </w:pPr>
    </w:p>
    <w:p w14:paraId="433FCCB6" w14:textId="77777777" w:rsidR="009E345A" w:rsidRPr="00FE3BD1" w:rsidRDefault="009E345A" w:rsidP="009E345A">
      <w:pPr>
        <w:rPr>
          <w:lang w:val="en-US"/>
        </w:rPr>
      </w:pPr>
      <w:r w:rsidRPr="00FE3BD1">
        <w:rPr>
          <w:lang w:val="en-US"/>
        </w:rPr>
        <w:t xml:space="preserve">The country list can be found in the "Hierarchies" </w:t>
      </w:r>
      <w:r>
        <w:rPr>
          <w:lang w:val="en-US"/>
        </w:rPr>
        <w:t xml:space="preserve">tab of the Annotated Templates. </w:t>
      </w:r>
      <w:r w:rsidRPr="00FE3BD1">
        <w:rPr>
          <w:lang w:val="en-US"/>
        </w:rPr>
        <w:t>Some changes have been made to the country list. For example, several international organizations have been added (BIS, EBRD, ECB</w:t>
      </w:r>
      <w:r>
        <w:rPr>
          <w:lang w:val="en-US"/>
        </w:rPr>
        <w:t>,</w:t>
      </w:r>
      <w:r w:rsidRPr="00FE3BD1">
        <w:rPr>
          <w:lang w:val="en-US"/>
        </w:rPr>
        <w:t xml:space="preserve"> EFSF, IMF, OECD, UN, </w:t>
      </w:r>
      <w:proofErr w:type="spellStart"/>
      <w:r w:rsidRPr="00FE3BD1">
        <w:rPr>
          <w:lang w:val="en-US"/>
        </w:rPr>
        <w:t>Wor</w:t>
      </w:r>
      <w:r>
        <w:rPr>
          <w:lang w:val="en-US"/>
        </w:rPr>
        <w:t>l</w:t>
      </w:r>
      <w:r w:rsidRPr="00FE3BD1">
        <w:rPr>
          <w:lang w:val="en-US"/>
        </w:rPr>
        <w:t>dbank</w:t>
      </w:r>
      <w:proofErr w:type="spellEnd"/>
      <w:r w:rsidRPr="00FE3BD1">
        <w:rPr>
          <w:lang w:val="en-US"/>
        </w:rPr>
        <w:t>, other regional and international organizations) and two collective terms have been removed (International organizations in European Union excluding ECB and International organizations excluding ins</w:t>
      </w:r>
      <w:r>
        <w:rPr>
          <w:lang w:val="en-US"/>
        </w:rPr>
        <w:t>titutions in the European Union</w:t>
      </w:r>
      <w:r w:rsidRPr="00FE3BD1">
        <w:rPr>
          <w:lang w:val="en-US"/>
        </w:rPr>
        <w:t>).</w:t>
      </w:r>
    </w:p>
    <w:p w14:paraId="019D464D" w14:textId="77777777" w:rsidR="009E345A" w:rsidRPr="00FE3BD1" w:rsidRDefault="009E345A" w:rsidP="009E345A">
      <w:pPr>
        <w:rPr>
          <w:lang w:val="en-US"/>
        </w:rPr>
      </w:pPr>
    </w:p>
    <w:p w14:paraId="099EA5D5" w14:textId="35B029DF" w:rsidR="009E345A" w:rsidRDefault="009E345A" w:rsidP="009E345A">
      <w:pPr>
        <w:rPr>
          <w:lang w:val="en-US"/>
        </w:rPr>
      </w:pPr>
      <w:r>
        <w:rPr>
          <w:lang w:val="en-US"/>
        </w:rPr>
        <w:t>It’s</w:t>
      </w:r>
      <w:r w:rsidRPr="00FE3BD1">
        <w:rPr>
          <w:lang w:val="en-US"/>
        </w:rPr>
        <w:t xml:space="preserve"> important that you no longer report positions </w:t>
      </w:r>
      <w:r>
        <w:rPr>
          <w:lang w:val="en-US"/>
        </w:rPr>
        <w:t xml:space="preserve">for example </w:t>
      </w:r>
      <w:r w:rsidRPr="00FE3BD1">
        <w:rPr>
          <w:lang w:val="en-US"/>
        </w:rPr>
        <w:t xml:space="preserve">on the ECB on </w:t>
      </w:r>
      <w:r>
        <w:rPr>
          <w:lang w:val="en-US"/>
        </w:rPr>
        <w:t xml:space="preserve">the country </w:t>
      </w:r>
      <w:r w:rsidRPr="00FE3BD1">
        <w:rPr>
          <w:lang w:val="en-US"/>
        </w:rPr>
        <w:t>Germany from this</w:t>
      </w:r>
      <w:r>
        <w:rPr>
          <w:lang w:val="en-US"/>
        </w:rPr>
        <w:t xml:space="preserve"> taxonomy</w:t>
      </w:r>
      <w:r w:rsidRPr="00FE3BD1">
        <w:rPr>
          <w:lang w:val="en-US"/>
        </w:rPr>
        <w:t xml:space="preserve"> version on, but on the "country" ECB.</w:t>
      </w:r>
    </w:p>
    <w:p w14:paraId="264C9627" w14:textId="77777777" w:rsidR="009E345A" w:rsidRDefault="009E345A" w:rsidP="009E345A">
      <w:pPr>
        <w:rPr>
          <w:lang w:val="en-US"/>
        </w:rPr>
      </w:pPr>
    </w:p>
    <w:p w14:paraId="632916DE" w14:textId="516161B7" w:rsidR="009E345A" w:rsidRPr="00EF636D" w:rsidRDefault="00EF636D" w:rsidP="009E345A">
      <w:pPr>
        <w:rPr>
          <w:b/>
          <w:i/>
          <w:lang w:val="en-US"/>
        </w:rPr>
      </w:pPr>
      <w:r w:rsidRPr="00EF636D">
        <w:rPr>
          <w:b/>
          <w:i/>
          <w:lang w:val="en-US"/>
        </w:rPr>
        <w:t>Changes from 2.0.1 to 2.0.2.</w:t>
      </w:r>
    </w:p>
    <w:p w14:paraId="3A5F29CA" w14:textId="58302C17" w:rsidR="009E345A" w:rsidRDefault="0011117C" w:rsidP="009E345A">
      <w:pPr>
        <w:rPr>
          <w:lang w:val="en-US"/>
        </w:rPr>
      </w:pPr>
      <w:r w:rsidRPr="0011117C">
        <w:rPr>
          <w:lang w:val="en-US"/>
        </w:rPr>
        <w:t xml:space="preserve">There was an error in the country list for forms 9013 and 9017 of version 2.0.1. The full country list was incorrectly </w:t>
      </w:r>
      <w:r w:rsidR="00456185">
        <w:rPr>
          <w:lang w:val="en-US"/>
        </w:rPr>
        <w:t>linked to</w:t>
      </w:r>
      <w:r w:rsidRPr="0011117C">
        <w:rPr>
          <w:lang w:val="en-US"/>
        </w:rPr>
        <w:t xml:space="preserve"> these forms for the "Counterparty country/group" di</w:t>
      </w:r>
      <w:bookmarkStart w:id="0" w:name="_GoBack"/>
      <w:bookmarkEnd w:id="0"/>
      <w:r w:rsidRPr="0011117C">
        <w:rPr>
          <w:lang w:val="en-US"/>
        </w:rPr>
        <w:t>mension. DNB has rectified this with an extra release version 2.0.2.</w:t>
      </w:r>
    </w:p>
    <w:p w14:paraId="6FD2F229" w14:textId="77777777" w:rsidR="009E345A" w:rsidRDefault="009E345A" w:rsidP="009E345A">
      <w:pPr>
        <w:rPr>
          <w:lang w:val="en-US"/>
        </w:rPr>
      </w:pPr>
    </w:p>
    <w:p w14:paraId="5FDE430D" w14:textId="77777777" w:rsidR="009E345A" w:rsidRDefault="009E345A" w:rsidP="009E345A">
      <w:pPr>
        <w:rPr>
          <w:lang w:val="en-US"/>
        </w:rPr>
        <w:sectPr w:rsidR="009E345A" w:rsidSect="000F455B">
          <w:headerReference w:type="default" r:id="rId7"/>
          <w:pgSz w:w="11906" w:h="16838"/>
          <w:pgMar w:top="3090" w:right="3175" w:bottom="1418" w:left="1474" w:header="142" w:footer="709" w:gutter="0"/>
          <w:cols w:space="708"/>
          <w:docGrid w:linePitch="360"/>
        </w:sectPr>
      </w:pPr>
    </w:p>
    <w:p w14:paraId="6CBF37B7" w14:textId="77777777" w:rsidR="009E345A" w:rsidRPr="00FE3BD1" w:rsidRDefault="009E345A" w:rsidP="009E345A">
      <w:pPr>
        <w:rPr>
          <w:lang w:val="en-US"/>
        </w:rPr>
      </w:pPr>
    </w:p>
    <w:p w14:paraId="7EC95A31" w14:textId="77777777" w:rsidR="009E345A" w:rsidRPr="00C57ABC" w:rsidRDefault="009E345A" w:rsidP="009E345A">
      <w:pPr>
        <w:rPr>
          <w:b/>
          <w:sz w:val="22"/>
          <w:szCs w:val="22"/>
          <w:lang w:val="en-US"/>
        </w:rPr>
      </w:pPr>
      <w:r w:rsidRPr="00C57ABC">
        <w:rPr>
          <w:b/>
          <w:sz w:val="22"/>
          <w:szCs w:val="22"/>
          <w:lang w:val="en-US"/>
        </w:rPr>
        <w:t>Annex. New interaction within Table group 5: TG9013</w:t>
      </w:r>
    </w:p>
    <w:tbl>
      <w:tblPr>
        <w:tblStyle w:val="Tabelraster"/>
        <w:tblpPr w:leftFromText="141" w:rightFromText="141" w:vertAnchor="text" w:horzAnchor="margin" w:tblpY="298"/>
        <w:tblW w:w="14737" w:type="dxa"/>
        <w:tblLook w:val="04A0" w:firstRow="1" w:lastRow="0" w:firstColumn="1" w:lastColumn="0" w:noHBand="0" w:noVBand="1"/>
      </w:tblPr>
      <w:tblGrid>
        <w:gridCol w:w="6232"/>
        <w:gridCol w:w="2487"/>
        <w:gridCol w:w="1527"/>
        <w:gridCol w:w="1710"/>
        <w:gridCol w:w="2781"/>
      </w:tblGrid>
      <w:tr w:rsidR="009E345A" w:rsidRPr="00590D1D" w14:paraId="481A36AE" w14:textId="77777777" w:rsidTr="00C9522E">
        <w:trPr>
          <w:trHeight w:val="300"/>
        </w:trPr>
        <w:tc>
          <w:tcPr>
            <w:tcW w:w="6232" w:type="dxa"/>
            <w:noWrap/>
            <w:hideMark/>
          </w:tcPr>
          <w:p w14:paraId="0D960D9A" w14:textId="77777777" w:rsidR="009E345A" w:rsidRPr="00590D1D" w:rsidRDefault="009E345A" w:rsidP="00C9522E">
            <w:pPr>
              <w:spacing w:line="276" w:lineRule="auto"/>
              <w:rPr>
                <w:rFonts w:cs="Arial"/>
                <w:lang w:val="en-US"/>
              </w:rPr>
            </w:pPr>
            <w:r w:rsidRPr="00590D1D">
              <w:rPr>
                <w:rFonts w:cs="Arial"/>
                <w:lang w:val="en-US"/>
              </w:rPr>
              <w:t> </w:t>
            </w:r>
          </w:p>
        </w:tc>
        <w:tc>
          <w:tcPr>
            <w:tcW w:w="2487" w:type="dxa"/>
            <w:noWrap/>
            <w:hideMark/>
          </w:tcPr>
          <w:p w14:paraId="509493E7" w14:textId="77777777" w:rsidR="009E345A" w:rsidRPr="00590D1D" w:rsidRDefault="009E345A" w:rsidP="00C9522E">
            <w:pPr>
              <w:spacing w:line="276" w:lineRule="auto"/>
              <w:rPr>
                <w:rFonts w:cs="Arial"/>
                <w:b/>
                <w:bCs/>
              </w:rPr>
            </w:pPr>
            <w:proofErr w:type="spellStart"/>
            <w:r w:rsidRPr="00590D1D">
              <w:rPr>
                <w:rFonts w:cs="Arial"/>
                <w:b/>
                <w:bCs/>
              </w:rPr>
              <w:t>Interaction</w:t>
            </w:r>
            <w:proofErr w:type="spellEnd"/>
            <w:r w:rsidRPr="00590D1D">
              <w:rPr>
                <w:rFonts w:cs="Arial"/>
                <w:b/>
                <w:bCs/>
              </w:rPr>
              <w:t xml:space="preserve"> </w:t>
            </w:r>
            <w:proofErr w:type="spellStart"/>
            <w:r w:rsidRPr="00590D1D">
              <w:rPr>
                <w:rFonts w:cs="Arial"/>
                <w:b/>
                <w:bCs/>
              </w:rPr>
              <w:t>between</w:t>
            </w:r>
            <w:proofErr w:type="spellEnd"/>
            <w:r w:rsidRPr="00590D1D">
              <w:rPr>
                <w:rFonts w:cs="Arial"/>
                <w:b/>
                <w:bCs/>
              </w:rPr>
              <w:t xml:space="preserve"> </w:t>
            </w:r>
            <w:proofErr w:type="spellStart"/>
            <w:r w:rsidRPr="00590D1D">
              <w:rPr>
                <w:rFonts w:cs="Arial"/>
                <w:b/>
                <w:bCs/>
              </w:rPr>
              <w:t>forms</w:t>
            </w:r>
            <w:proofErr w:type="spellEnd"/>
          </w:p>
        </w:tc>
        <w:tc>
          <w:tcPr>
            <w:tcW w:w="1527" w:type="dxa"/>
            <w:noWrap/>
            <w:hideMark/>
          </w:tcPr>
          <w:p w14:paraId="6EFADF47" w14:textId="77777777" w:rsidR="009E345A" w:rsidRPr="00590D1D" w:rsidRDefault="009E345A" w:rsidP="00C9522E">
            <w:pPr>
              <w:spacing w:line="276" w:lineRule="auto"/>
              <w:rPr>
                <w:rFonts w:cs="Arial"/>
                <w:b/>
                <w:bCs/>
                <w:lang w:val="en-US"/>
              </w:rPr>
            </w:pPr>
            <w:r w:rsidRPr="00590D1D">
              <w:rPr>
                <w:rFonts w:cs="Arial"/>
                <w:b/>
                <w:bCs/>
                <w:lang w:val="en-US"/>
              </w:rPr>
              <w:t>With impact on MFI’s balance sheet?</w:t>
            </w:r>
          </w:p>
        </w:tc>
        <w:tc>
          <w:tcPr>
            <w:tcW w:w="1710" w:type="dxa"/>
            <w:noWrap/>
            <w:hideMark/>
          </w:tcPr>
          <w:p w14:paraId="2954A93F" w14:textId="77777777" w:rsidR="009E345A" w:rsidRPr="00590D1D" w:rsidRDefault="009E345A" w:rsidP="00C9522E">
            <w:pPr>
              <w:spacing w:line="276" w:lineRule="auto"/>
              <w:rPr>
                <w:rFonts w:cs="Arial"/>
                <w:b/>
                <w:bCs/>
                <w:lang w:val="en-US"/>
              </w:rPr>
            </w:pPr>
            <w:proofErr w:type="spellStart"/>
            <w:r w:rsidRPr="00590D1D">
              <w:rPr>
                <w:rFonts w:cs="Arial"/>
                <w:b/>
                <w:bCs/>
                <w:lang w:val="en-US"/>
              </w:rPr>
              <w:t>Securitisation</w:t>
            </w:r>
            <w:proofErr w:type="spellEnd"/>
            <w:r w:rsidRPr="00590D1D">
              <w:rPr>
                <w:rFonts w:cs="Arial"/>
                <w:b/>
                <w:bCs/>
                <w:lang w:val="en-US"/>
              </w:rPr>
              <w:t xml:space="preserve"> or Other loan transfer?</w:t>
            </w:r>
          </w:p>
        </w:tc>
        <w:tc>
          <w:tcPr>
            <w:tcW w:w="2781" w:type="dxa"/>
            <w:noWrap/>
            <w:hideMark/>
          </w:tcPr>
          <w:p w14:paraId="2FED9281" w14:textId="77777777" w:rsidR="009E345A" w:rsidRPr="00590D1D" w:rsidRDefault="009E345A" w:rsidP="00C9522E">
            <w:pPr>
              <w:spacing w:line="276" w:lineRule="auto"/>
              <w:rPr>
                <w:rFonts w:cs="Arial"/>
                <w:b/>
                <w:bCs/>
              </w:rPr>
            </w:pPr>
            <w:proofErr w:type="spellStart"/>
            <w:r w:rsidRPr="00590D1D">
              <w:rPr>
                <w:rFonts w:cs="Arial"/>
                <w:b/>
                <w:bCs/>
              </w:rPr>
              <w:t>Servicer</w:t>
            </w:r>
            <w:proofErr w:type="spellEnd"/>
            <w:r w:rsidRPr="00590D1D">
              <w:rPr>
                <w:rFonts w:cs="Arial"/>
                <w:b/>
                <w:bCs/>
              </w:rPr>
              <w:t>?</w:t>
            </w:r>
          </w:p>
        </w:tc>
      </w:tr>
      <w:tr w:rsidR="009E345A" w:rsidRPr="00590D1D" w14:paraId="5D0EF78B" w14:textId="77777777" w:rsidTr="00C9522E">
        <w:trPr>
          <w:trHeight w:val="300"/>
        </w:trPr>
        <w:tc>
          <w:tcPr>
            <w:tcW w:w="6232" w:type="dxa"/>
            <w:noWrap/>
            <w:hideMark/>
          </w:tcPr>
          <w:p w14:paraId="30B0868E" w14:textId="77777777" w:rsidR="009E345A" w:rsidRPr="00590D1D" w:rsidRDefault="009E345A" w:rsidP="00C9522E">
            <w:pPr>
              <w:spacing w:line="276" w:lineRule="auto"/>
              <w:rPr>
                <w:rFonts w:cs="Arial"/>
                <w:lang w:val="en-US"/>
              </w:rPr>
            </w:pPr>
            <w:r w:rsidRPr="00590D1D">
              <w:rPr>
                <w:rFonts w:cs="Arial"/>
                <w:lang w:val="en-US"/>
              </w:rPr>
              <w:t xml:space="preserve">T9013HK1 - Gross flows (sold vs. repurchased) of </w:t>
            </w:r>
            <w:proofErr w:type="spellStart"/>
            <w:r w:rsidRPr="00590D1D">
              <w:rPr>
                <w:rFonts w:cs="Arial"/>
                <w:lang w:val="en-US"/>
              </w:rPr>
              <w:t>securitised</w:t>
            </w:r>
            <w:proofErr w:type="spellEnd"/>
            <w:r w:rsidRPr="00590D1D">
              <w:rPr>
                <w:rFonts w:cs="Arial"/>
                <w:lang w:val="en-US"/>
              </w:rPr>
              <w:t xml:space="preserve"> loans transferred to FVCs - Transactions with effect on reported position of loans in MFI balance sheet (‘</w:t>
            </w:r>
            <w:proofErr w:type="spellStart"/>
            <w:r w:rsidRPr="00590D1D">
              <w:rPr>
                <w:rFonts w:cs="Arial"/>
                <w:lang w:val="en-US"/>
              </w:rPr>
              <w:t>derecognised</w:t>
            </w:r>
            <w:proofErr w:type="spellEnd"/>
            <w:r w:rsidRPr="00590D1D">
              <w:rPr>
                <w:rFonts w:cs="Arial"/>
                <w:lang w:val="en-US"/>
              </w:rPr>
              <w:t>’)</w:t>
            </w:r>
          </w:p>
        </w:tc>
        <w:tc>
          <w:tcPr>
            <w:tcW w:w="2487" w:type="dxa"/>
            <w:noWrap/>
            <w:hideMark/>
          </w:tcPr>
          <w:p w14:paraId="7F26CB27" w14:textId="77777777" w:rsidR="009E345A" w:rsidRPr="00590D1D" w:rsidRDefault="009E345A" w:rsidP="00C9522E">
            <w:pPr>
              <w:spacing w:line="276" w:lineRule="auto"/>
              <w:rPr>
                <w:rFonts w:cs="Arial"/>
              </w:rPr>
            </w:pPr>
            <w:r w:rsidRPr="00590D1D">
              <w:rPr>
                <w:rFonts w:cs="Arial"/>
              </w:rPr>
              <w:t>Flow (9013HK1) - Stock (9013HK3)</w:t>
            </w:r>
          </w:p>
        </w:tc>
        <w:tc>
          <w:tcPr>
            <w:tcW w:w="1527" w:type="dxa"/>
            <w:noWrap/>
            <w:hideMark/>
          </w:tcPr>
          <w:p w14:paraId="0E4C81A5" w14:textId="77777777" w:rsidR="009E345A" w:rsidRPr="00590D1D" w:rsidRDefault="009E345A" w:rsidP="00C9522E">
            <w:pPr>
              <w:spacing w:line="276" w:lineRule="auto"/>
              <w:rPr>
                <w:rFonts w:cs="Arial"/>
              </w:rPr>
            </w:pPr>
            <w:r w:rsidRPr="00590D1D">
              <w:rPr>
                <w:rFonts w:cs="Arial"/>
              </w:rPr>
              <w:t>impact</w:t>
            </w:r>
          </w:p>
        </w:tc>
        <w:tc>
          <w:tcPr>
            <w:tcW w:w="1710" w:type="dxa"/>
            <w:noWrap/>
            <w:hideMark/>
          </w:tcPr>
          <w:p w14:paraId="28164EC4" w14:textId="77777777" w:rsidR="009E345A" w:rsidRPr="00590D1D" w:rsidRDefault="009E345A" w:rsidP="00C9522E">
            <w:pPr>
              <w:spacing w:line="276" w:lineRule="auto"/>
              <w:rPr>
                <w:rFonts w:cs="Arial"/>
              </w:rPr>
            </w:pPr>
            <w:proofErr w:type="spellStart"/>
            <w:r w:rsidRPr="00590D1D">
              <w:rPr>
                <w:rFonts w:cs="Arial"/>
              </w:rPr>
              <w:t>securitisation</w:t>
            </w:r>
            <w:proofErr w:type="spellEnd"/>
          </w:p>
        </w:tc>
        <w:tc>
          <w:tcPr>
            <w:tcW w:w="2781" w:type="dxa"/>
            <w:noWrap/>
            <w:hideMark/>
          </w:tcPr>
          <w:p w14:paraId="7AD8750A" w14:textId="77777777" w:rsidR="009E345A" w:rsidRPr="00590D1D" w:rsidRDefault="009E345A" w:rsidP="00C9522E">
            <w:pPr>
              <w:spacing w:line="276" w:lineRule="auto"/>
              <w:rPr>
                <w:rFonts w:cs="Arial"/>
                <w:lang w:val="en-US"/>
              </w:rPr>
            </w:pPr>
            <w:r w:rsidRPr="00590D1D">
              <w:rPr>
                <w:rFonts w:cs="Arial"/>
                <w:lang w:val="en-US"/>
              </w:rPr>
              <w:t xml:space="preserve">Servicer / not servicer, </w:t>
            </w:r>
            <w:proofErr w:type="spellStart"/>
            <w:r w:rsidRPr="00590D1D">
              <w:rPr>
                <w:rFonts w:cs="Arial"/>
                <w:lang w:val="en-US"/>
              </w:rPr>
              <w:t>derec</w:t>
            </w:r>
            <w:proofErr w:type="spellEnd"/>
          </w:p>
        </w:tc>
      </w:tr>
      <w:tr w:rsidR="009E345A" w:rsidRPr="007236F3" w14:paraId="147F2CE7" w14:textId="77777777" w:rsidTr="00C9522E">
        <w:trPr>
          <w:trHeight w:val="300"/>
        </w:trPr>
        <w:tc>
          <w:tcPr>
            <w:tcW w:w="6232" w:type="dxa"/>
            <w:noWrap/>
            <w:hideMark/>
          </w:tcPr>
          <w:p w14:paraId="223B7387" w14:textId="77777777" w:rsidR="009E345A" w:rsidRPr="00590D1D" w:rsidRDefault="009E345A" w:rsidP="00C9522E">
            <w:pPr>
              <w:spacing w:line="276" w:lineRule="auto"/>
              <w:rPr>
                <w:rFonts w:cs="Arial"/>
                <w:lang w:val="en-US"/>
              </w:rPr>
            </w:pPr>
            <w:r w:rsidRPr="00590D1D">
              <w:rPr>
                <w:rFonts w:cs="Arial"/>
                <w:lang w:val="en-US"/>
              </w:rPr>
              <w:t xml:space="preserve">T9013HK2 - Net flows (sales less repurchases) of </w:t>
            </w:r>
            <w:proofErr w:type="spellStart"/>
            <w:r w:rsidRPr="00590D1D">
              <w:rPr>
                <w:rFonts w:cs="Arial"/>
                <w:lang w:val="en-US"/>
              </w:rPr>
              <w:t>securitised</w:t>
            </w:r>
            <w:proofErr w:type="spellEnd"/>
            <w:r w:rsidRPr="00590D1D">
              <w:rPr>
                <w:rFonts w:cs="Arial"/>
                <w:lang w:val="en-US"/>
              </w:rPr>
              <w:t xml:space="preserve"> loans to FVCs - Transactions without effect on reported position of loans in MFI balance sheet (‘not </w:t>
            </w:r>
            <w:proofErr w:type="spellStart"/>
            <w:r w:rsidRPr="00590D1D">
              <w:rPr>
                <w:rFonts w:cs="Arial"/>
                <w:lang w:val="en-US"/>
              </w:rPr>
              <w:t>derecognised</w:t>
            </w:r>
            <w:proofErr w:type="spellEnd"/>
            <w:r w:rsidRPr="00590D1D">
              <w:rPr>
                <w:rFonts w:cs="Arial"/>
                <w:lang w:val="en-US"/>
              </w:rPr>
              <w:t>’)</w:t>
            </w:r>
          </w:p>
        </w:tc>
        <w:tc>
          <w:tcPr>
            <w:tcW w:w="2487" w:type="dxa"/>
            <w:noWrap/>
            <w:hideMark/>
          </w:tcPr>
          <w:p w14:paraId="5DCBC853" w14:textId="77777777" w:rsidR="009E345A" w:rsidRPr="00590D1D" w:rsidRDefault="009E345A" w:rsidP="00C9522E">
            <w:pPr>
              <w:spacing w:line="276" w:lineRule="auto"/>
              <w:rPr>
                <w:rFonts w:cs="Arial"/>
              </w:rPr>
            </w:pPr>
            <w:r w:rsidRPr="00590D1D">
              <w:rPr>
                <w:rFonts w:cs="Arial"/>
              </w:rPr>
              <w:t>Flow (9013HK2) - Stock (9013HK4)</w:t>
            </w:r>
          </w:p>
        </w:tc>
        <w:tc>
          <w:tcPr>
            <w:tcW w:w="1527" w:type="dxa"/>
            <w:noWrap/>
            <w:hideMark/>
          </w:tcPr>
          <w:p w14:paraId="6DD10086" w14:textId="77777777" w:rsidR="009E345A" w:rsidRPr="00590D1D" w:rsidRDefault="009E345A" w:rsidP="00C9522E">
            <w:pPr>
              <w:spacing w:line="276" w:lineRule="auto"/>
              <w:rPr>
                <w:rFonts w:cs="Arial"/>
              </w:rPr>
            </w:pPr>
            <w:r w:rsidRPr="00590D1D">
              <w:rPr>
                <w:rFonts w:cs="Arial"/>
              </w:rPr>
              <w:t>no impact</w:t>
            </w:r>
          </w:p>
        </w:tc>
        <w:tc>
          <w:tcPr>
            <w:tcW w:w="1710" w:type="dxa"/>
            <w:noWrap/>
            <w:hideMark/>
          </w:tcPr>
          <w:p w14:paraId="060E15DC" w14:textId="77777777" w:rsidR="009E345A" w:rsidRPr="00590D1D" w:rsidRDefault="009E345A" w:rsidP="00C9522E">
            <w:pPr>
              <w:spacing w:line="276" w:lineRule="auto"/>
              <w:rPr>
                <w:rFonts w:cs="Arial"/>
              </w:rPr>
            </w:pPr>
            <w:proofErr w:type="spellStart"/>
            <w:r w:rsidRPr="00590D1D">
              <w:rPr>
                <w:rFonts w:cs="Arial"/>
              </w:rPr>
              <w:t>securitisation</w:t>
            </w:r>
            <w:proofErr w:type="spellEnd"/>
          </w:p>
        </w:tc>
        <w:tc>
          <w:tcPr>
            <w:tcW w:w="2781" w:type="dxa"/>
            <w:noWrap/>
            <w:hideMark/>
          </w:tcPr>
          <w:p w14:paraId="65695217" w14:textId="77777777" w:rsidR="009E345A" w:rsidRPr="00590D1D" w:rsidRDefault="009E345A" w:rsidP="00C9522E">
            <w:pPr>
              <w:spacing w:line="276" w:lineRule="auto"/>
              <w:rPr>
                <w:rFonts w:cs="Arial"/>
                <w:lang w:val="en-US"/>
              </w:rPr>
            </w:pPr>
            <w:r w:rsidRPr="00590D1D">
              <w:rPr>
                <w:rFonts w:cs="Arial"/>
                <w:lang w:val="en-US"/>
              </w:rPr>
              <w:t xml:space="preserve">MFI is servicer, not </w:t>
            </w:r>
            <w:proofErr w:type="spellStart"/>
            <w:r w:rsidRPr="00590D1D">
              <w:rPr>
                <w:rFonts w:cs="Arial"/>
                <w:lang w:val="en-US"/>
              </w:rPr>
              <w:t>derec</w:t>
            </w:r>
            <w:proofErr w:type="spellEnd"/>
          </w:p>
        </w:tc>
      </w:tr>
      <w:tr w:rsidR="009E345A" w:rsidRPr="00590D1D" w14:paraId="7BCE41ED" w14:textId="77777777" w:rsidTr="00C9522E">
        <w:trPr>
          <w:trHeight w:val="300"/>
        </w:trPr>
        <w:tc>
          <w:tcPr>
            <w:tcW w:w="6232" w:type="dxa"/>
            <w:noWrap/>
            <w:hideMark/>
          </w:tcPr>
          <w:p w14:paraId="6DEA46A6" w14:textId="77777777" w:rsidR="009E345A" w:rsidRPr="00590D1D" w:rsidRDefault="009E345A" w:rsidP="00C9522E">
            <w:pPr>
              <w:spacing w:line="276" w:lineRule="auto"/>
              <w:rPr>
                <w:rFonts w:cs="Arial"/>
                <w:lang w:val="en-US"/>
              </w:rPr>
            </w:pPr>
            <w:r w:rsidRPr="00590D1D">
              <w:rPr>
                <w:rFonts w:cs="Arial"/>
                <w:lang w:val="en-US"/>
              </w:rPr>
              <w:t xml:space="preserve">T9013HK3 - Outstanding amounts of </w:t>
            </w:r>
            <w:proofErr w:type="spellStart"/>
            <w:r w:rsidRPr="00590D1D">
              <w:rPr>
                <w:rFonts w:cs="Arial"/>
                <w:lang w:val="en-US"/>
              </w:rPr>
              <w:t>securitised</w:t>
            </w:r>
            <w:proofErr w:type="spellEnd"/>
            <w:r w:rsidRPr="00590D1D">
              <w:rPr>
                <w:rFonts w:cs="Arial"/>
                <w:lang w:val="en-US"/>
              </w:rPr>
              <w:t xml:space="preserve"> loans transferred to FVCs (‘</w:t>
            </w:r>
            <w:proofErr w:type="spellStart"/>
            <w:r w:rsidRPr="00590D1D">
              <w:rPr>
                <w:rFonts w:cs="Arial"/>
                <w:lang w:val="en-US"/>
              </w:rPr>
              <w:t>derecognised</w:t>
            </w:r>
            <w:proofErr w:type="spellEnd"/>
            <w:r w:rsidRPr="00590D1D">
              <w:rPr>
                <w:rFonts w:cs="Arial"/>
                <w:lang w:val="en-US"/>
              </w:rPr>
              <w:t>’) serviced by reporting agent</w:t>
            </w:r>
          </w:p>
        </w:tc>
        <w:tc>
          <w:tcPr>
            <w:tcW w:w="2487" w:type="dxa"/>
            <w:noWrap/>
            <w:hideMark/>
          </w:tcPr>
          <w:p w14:paraId="4FA53900" w14:textId="77777777" w:rsidR="009E345A" w:rsidRPr="00590D1D" w:rsidRDefault="009E345A" w:rsidP="00C9522E">
            <w:pPr>
              <w:spacing w:line="276" w:lineRule="auto"/>
              <w:rPr>
                <w:rFonts w:cs="Arial"/>
              </w:rPr>
            </w:pPr>
            <w:r w:rsidRPr="00590D1D">
              <w:rPr>
                <w:rFonts w:cs="Arial"/>
              </w:rPr>
              <w:t>Stock (9013HK3) - Flow (9013HK1)</w:t>
            </w:r>
          </w:p>
        </w:tc>
        <w:tc>
          <w:tcPr>
            <w:tcW w:w="1527" w:type="dxa"/>
            <w:noWrap/>
            <w:hideMark/>
          </w:tcPr>
          <w:p w14:paraId="1088A805" w14:textId="77777777" w:rsidR="009E345A" w:rsidRPr="00590D1D" w:rsidRDefault="009E345A" w:rsidP="00C9522E">
            <w:pPr>
              <w:spacing w:line="276" w:lineRule="auto"/>
              <w:rPr>
                <w:rFonts w:cs="Arial"/>
              </w:rPr>
            </w:pPr>
            <w:r w:rsidRPr="00590D1D">
              <w:rPr>
                <w:rFonts w:cs="Arial"/>
              </w:rPr>
              <w:t>impact</w:t>
            </w:r>
          </w:p>
        </w:tc>
        <w:tc>
          <w:tcPr>
            <w:tcW w:w="1710" w:type="dxa"/>
            <w:noWrap/>
            <w:hideMark/>
          </w:tcPr>
          <w:p w14:paraId="65A27452" w14:textId="77777777" w:rsidR="009E345A" w:rsidRPr="00590D1D" w:rsidRDefault="009E345A" w:rsidP="00C9522E">
            <w:pPr>
              <w:spacing w:line="276" w:lineRule="auto"/>
              <w:rPr>
                <w:rFonts w:cs="Arial"/>
              </w:rPr>
            </w:pPr>
            <w:proofErr w:type="spellStart"/>
            <w:r w:rsidRPr="00590D1D">
              <w:rPr>
                <w:rFonts w:cs="Arial"/>
              </w:rPr>
              <w:t>securitisation</w:t>
            </w:r>
            <w:proofErr w:type="spellEnd"/>
          </w:p>
        </w:tc>
        <w:tc>
          <w:tcPr>
            <w:tcW w:w="2781" w:type="dxa"/>
            <w:noWrap/>
            <w:hideMark/>
          </w:tcPr>
          <w:p w14:paraId="245569F2" w14:textId="77777777" w:rsidR="009E345A" w:rsidRPr="00590D1D" w:rsidRDefault="009E345A" w:rsidP="00C9522E">
            <w:pPr>
              <w:spacing w:line="276" w:lineRule="auto"/>
              <w:rPr>
                <w:rFonts w:cs="Arial"/>
              </w:rPr>
            </w:pPr>
            <w:r w:rsidRPr="00590D1D">
              <w:rPr>
                <w:rFonts w:cs="Arial"/>
              </w:rPr>
              <w:t xml:space="preserve">MFI is </w:t>
            </w:r>
            <w:proofErr w:type="spellStart"/>
            <w:r w:rsidRPr="00590D1D">
              <w:rPr>
                <w:rFonts w:cs="Arial"/>
              </w:rPr>
              <w:t>servicer</w:t>
            </w:r>
            <w:proofErr w:type="spellEnd"/>
            <w:r w:rsidRPr="00590D1D">
              <w:rPr>
                <w:rFonts w:cs="Arial"/>
              </w:rPr>
              <w:t xml:space="preserve">, </w:t>
            </w:r>
            <w:proofErr w:type="spellStart"/>
            <w:r w:rsidRPr="00590D1D">
              <w:rPr>
                <w:rFonts w:cs="Arial"/>
              </w:rPr>
              <w:t>derec</w:t>
            </w:r>
            <w:proofErr w:type="spellEnd"/>
          </w:p>
        </w:tc>
      </w:tr>
      <w:tr w:rsidR="009E345A" w:rsidRPr="007236F3" w14:paraId="1035F2C4" w14:textId="77777777" w:rsidTr="00C9522E">
        <w:trPr>
          <w:trHeight w:val="300"/>
        </w:trPr>
        <w:tc>
          <w:tcPr>
            <w:tcW w:w="6232" w:type="dxa"/>
            <w:noWrap/>
            <w:hideMark/>
          </w:tcPr>
          <w:p w14:paraId="32C41935" w14:textId="77777777" w:rsidR="009E345A" w:rsidRPr="00590D1D" w:rsidRDefault="009E345A" w:rsidP="00C9522E">
            <w:pPr>
              <w:spacing w:line="276" w:lineRule="auto"/>
              <w:rPr>
                <w:rFonts w:cs="Arial"/>
                <w:lang w:val="en-US"/>
              </w:rPr>
            </w:pPr>
            <w:r w:rsidRPr="00590D1D">
              <w:rPr>
                <w:rFonts w:cs="Arial"/>
                <w:lang w:val="en-US"/>
              </w:rPr>
              <w:t xml:space="preserve">T9013HK4 - Outstanding amounts of </w:t>
            </w:r>
            <w:proofErr w:type="spellStart"/>
            <w:r w:rsidRPr="00590D1D">
              <w:rPr>
                <w:rFonts w:cs="Arial"/>
                <w:lang w:val="en-US"/>
              </w:rPr>
              <w:t>securitised</w:t>
            </w:r>
            <w:proofErr w:type="spellEnd"/>
            <w:r w:rsidRPr="00590D1D">
              <w:rPr>
                <w:rFonts w:cs="Arial"/>
                <w:lang w:val="en-US"/>
              </w:rPr>
              <w:t xml:space="preserve"> loans not </w:t>
            </w:r>
            <w:proofErr w:type="spellStart"/>
            <w:r w:rsidRPr="00590D1D">
              <w:rPr>
                <w:rFonts w:cs="Arial"/>
                <w:lang w:val="en-US"/>
              </w:rPr>
              <w:t>tranferred</w:t>
            </w:r>
            <w:proofErr w:type="spellEnd"/>
            <w:r w:rsidRPr="00590D1D">
              <w:rPr>
                <w:rFonts w:cs="Arial"/>
                <w:lang w:val="en-US"/>
              </w:rPr>
              <w:t xml:space="preserve"> to FVCs ('not </w:t>
            </w:r>
            <w:proofErr w:type="spellStart"/>
            <w:r w:rsidRPr="00590D1D">
              <w:rPr>
                <w:rFonts w:cs="Arial"/>
                <w:lang w:val="en-US"/>
              </w:rPr>
              <w:t>derecognised</w:t>
            </w:r>
            <w:proofErr w:type="spellEnd"/>
            <w:r w:rsidRPr="00590D1D">
              <w:rPr>
                <w:rFonts w:cs="Arial"/>
                <w:lang w:val="en-US"/>
              </w:rPr>
              <w:t>')</w:t>
            </w:r>
          </w:p>
        </w:tc>
        <w:tc>
          <w:tcPr>
            <w:tcW w:w="2487" w:type="dxa"/>
            <w:noWrap/>
            <w:hideMark/>
          </w:tcPr>
          <w:p w14:paraId="2807E6B0" w14:textId="77777777" w:rsidR="009E345A" w:rsidRPr="00590D1D" w:rsidRDefault="009E345A" w:rsidP="00C9522E">
            <w:pPr>
              <w:spacing w:line="276" w:lineRule="auto"/>
              <w:rPr>
                <w:rFonts w:cs="Arial"/>
              </w:rPr>
            </w:pPr>
            <w:r w:rsidRPr="00590D1D">
              <w:rPr>
                <w:rFonts w:cs="Arial"/>
              </w:rPr>
              <w:t>Stock (9013HK4) - Flow (9013HK2)</w:t>
            </w:r>
          </w:p>
        </w:tc>
        <w:tc>
          <w:tcPr>
            <w:tcW w:w="1527" w:type="dxa"/>
            <w:noWrap/>
            <w:hideMark/>
          </w:tcPr>
          <w:p w14:paraId="5229BF02" w14:textId="77777777" w:rsidR="009E345A" w:rsidRPr="00590D1D" w:rsidRDefault="009E345A" w:rsidP="00C9522E">
            <w:pPr>
              <w:spacing w:line="276" w:lineRule="auto"/>
              <w:rPr>
                <w:rFonts w:cs="Arial"/>
              </w:rPr>
            </w:pPr>
            <w:r w:rsidRPr="00590D1D">
              <w:rPr>
                <w:rFonts w:cs="Arial"/>
              </w:rPr>
              <w:t>no impact</w:t>
            </w:r>
          </w:p>
        </w:tc>
        <w:tc>
          <w:tcPr>
            <w:tcW w:w="1710" w:type="dxa"/>
            <w:noWrap/>
            <w:hideMark/>
          </w:tcPr>
          <w:p w14:paraId="26919E19" w14:textId="77777777" w:rsidR="009E345A" w:rsidRPr="00590D1D" w:rsidRDefault="009E345A" w:rsidP="00C9522E">
            <w:pPr>
              <w:spacing w:line="276" w:lineRule="auto"/>
              <w:rPr>
                <w:rFonts w:cs="Arial"/>
              </w:rPr>
            </w:pPr>
            <w:proofErr w:type="spellStart"/>
            <w:r w:rsidRPr="00590D1D">
              <w:rPr>
                <w:rFonts w:cs="Arial"/>
              </w:rPr>
              <w:t>securitisation</w:t>
            </w:r>
            <w:proofErr w:type="spellEnd"/>
          </w:p>
        </w:tc>
        <w:tc>
          <w:tcPr>
            <w:tcW w:w="2781" w:type="dxa"/>
            <w:noWrap/>
            <w:hideMark/>
          </w:tcPr>
          <w:p w14:paraId="3B6AEDEA" w14:textId="77777777" w:rsidR="009E345A" w:rsidRPr="00590D1D" w:rsidRDefault="009E345A" w:rsidP="00C9522E">
            <w:pPr>
              <w:spacing w:line="276" w:lineRule="auto"/>
              <w:rPr>
                <w:rFonts w:cs="Arial"/>
                <w:lang w:val="en-US"/>
              </w:rPr>
            </w:pPr>
            <w:r w:rsidRPr="00590D1D">
              <w:rPr>
                <w:rFonts w:cs="Arial"/>
                <w:lang w:val="en-US"/>
              </w:rPr>
              <w:t xml:space="preserve">MFI is servicer, not </w:t>
            </w:r>
            <w:proofErr w:type="spellStart"/>
            <w:r w:rsidRPr="00590D1D">
              <w:rPr>
                <w:rFonts w:cs="Arial"/>
                <w:lang w:val="en-US"/>
              </w:rPr>
              <w:t>derec</w:t>
            </w:r>
            <w:proofErr w:type="spellEnd"/>
          </w:p>
        </w:tc>
      </w:tr>
      <w:tr w:rsidR="009E345A" w:rsidRPr="00590D1D" w14:paraId="5990DE91" w14:textId="77777777" w:rsidTr="00C9522E">
        <w:trPr>
          <w:trHeight w:val="300"/>
        </w:trPr>
        <w:tc>
          <w:tcPr>
            <w:tcW w:w="6232" w:type="dxa"/>
            <w:noWrap/>
            <w:hideMark/>
          </w:tcPr>
          <w:p w14:paraId="00AF0AFF" w14:textId="77777777" w:rsidR="009E345A" w:rsidRPr="00590D1D" w:rsidRDefault="009E345A" w:rsidP="00C9522E">
            <w:pPr>
              <w:spacing w:line="276" w:lineRule="auto"/>
              <w:rPr>
                <w:rFonts w:cs="Arial"/>
                <w:lang w:val="en-US"/>
              </w:rPr>
            </w:pPr>
            <w:r w:rsidRPr="00590D1D">
              <w:rPr>
                <w:rFonts w:cs="Arial"/>
                <w:lang w:val="en-US"/>
              </w:rPr>
              <w:t>T9013HK5 - Gross flows (sales/repurchases) of loans transferred to non-FVCs. With impact on reported stock</w:t>
            </w:r>
          </w:p>
        </w:tc>
        <w:tc>
          <w:tcPr>
            <w:tcW w:w="2487" w:type="dxa"/>
            <w:noWrap/>
            <w:hideMark/>
          </w:tcPr>
          <w:p w14:paraId="5645782E" w14:textId="77777777" w:rsidR="009E345A" w:rsidRPr="00590D1D" w:rsidRDefault="009E345A" w:rsidP="00C9522E">
            <w:pPr>
              <w:spacing w:line="276" w:lineRule="auto"/>
              <w:rPr>
                <w:rFonts w:cs="Arial"/>
              </w:rPr>
            </w:pPr>
            <w:r w:rsidRPr="00590D1D">
              <w:rPr>
                <w:rFonts w:cs="Arial"/>
              </w:rPr>
              <w:t>Flow (9013HK5) - Stock (9013HK6)</w:t>
            </w:r>
          </w:p>
        </w:tc>
        <w:tc>
          <w:tcPr>
            <w:tcW w:w="1527" w:type="dxa"/>
            <w:noWrap/>
            <w:hideMark/>
          </w:tcPr>
          <w:p w14:paraId="4220689C" w14:textId="77777777" w:rsidR="009E345A" w:rsidRPr="00590D1D" w:rsidRDefault="009E345A" w:rsidP="00C9522E">
            <w:pPr>
              <w:spacing w:line="276" w:lineRule="auto"/>
              <w:rPr>
                <w:rFonts w:cs="Arial"/>
              </w:rPr>
            </w:pPr>
            <w:r w:rsidRPr="00590D1D">
              <w:rPr>
                <w:rFonts w:cs="Arial"/>
              </w:rPr>
              <w:t>impact</w:t>
            </w:r>
          </w:p>
        </w:tc>
        <w:tc>
          <w:tcPr>
            <w:tcW w:w="1710" w:type="dxa"/>
            <w:noWrap/>
            <w:hideMark/>
          </w:tcPr>
          <w:p w14:paraId="7059FD30" w14:textId="77777777" w:rsidR="009E345A" w:rsidRPr="00590D1D" w:rsidRDefault="009E345A" w:rsidP="00C9522E">
            <w:pPr>
              <w:spacing w:line="276" w:lineRule="auto"/>
              <w:rPr>
                <w:rFonts w:cs="Arial"/>
              </w:rPr>
            </w:pPr>
            <w:proofErr w:type="spellStart"/>
            <w:r w:rsidRPr="00590D1D">
              <w:rPr>
                <w:rFonts w:cs="Arial"/>
              </w:rPr>
              <w:t>other</w:t>
            </w:r>
            <w:proofErr w:type="spellEnd"/>
            <w:r w:rsidRPr="00590D1D">
              <w:rPr>
                <w:rFonts w:cs="Arial"/>
              </w:rPr>
              <w:t xml:space="preserve"> </w:t>
            </w:r>
            <w:proofErr w:type="spellStart"/>
            <w:r w:rsidRPr="00590D1D">
              <w:rPr>
                <w:rFonts w:cs="Arial"/>
              </w:rPr>
              <w:t>loan</w:t>
            </w:r>
            <w:proofErr w:type="spellEnd"/>
            <w:r w:rsidRPr="00590D1D">
              <w:rPr>
                <w:rFonts w:cs="Arial"/>
              </w:rPr>
              <w:t xml:space="preserve"> transfer</w:t>
            </w:r>
          </w:p>
        </w:tc>
        <w:tc>
          <w:tcPr>
            <w:tcW w:w="2781" w:type="dxa"/>
            <w:noWrap/>
            <w:hideMark/>
          </w:tcPr>
          <w:p w14:paraId="47531672" w14:textId="77777777" w:rsidR="009E345A" w:rsidRPr="00590D1D" w:rsidRDefault="009E345A" w:rsidP="00C9522E">
            <w:pPr>
              <w:spacing w:line="276" w:lineRule="auto"/>
              <w:rPr>
                <w:rFonts w:cs="Arial"/>
              </w:rPr>
            </w:pPr>
            <w:proofErr w:type="spellStart"/>
            <w:r w:rsidRPr="00590D1D">
              <w:rPr>
                <w:rFonts w:cs="Arial"/>
              </w:rPr>
              <w:t>Servicer</w:t>
            </w:r>
            <w:proofErr w:type="spellEnd"/>
            <w:r w:rsidRPr="00590D1D">
              <w:rPr>
                <w:rFonts w:cs="Arial"/>
              </w:rPr>
              <w:t xml:space="preserve"> / </w:t>
            </w:r>
            <w:proofErr w:type="spellStart"/>
            <w:r w:rsidRPr="00590D1D">
              <w:rPr>
                <w:rFonts w:cs="Arial"/>
              </w:rPr>
              <w:t>not</w:t>
            </w:r>
            <w:proofErr w:type="spellEnd"/>
            <w:r w:rsidRPr="00590D1D">
              <w:rPr>
                <w:rFonts w:cs="Arial"/>
              </w:rPr>
              <w:t xml:space="preserve"> </w:t>
            </w:r>
            <w:proofErr w:type="spellStart"/>
            <w:r w:rsidRPr="00590D1D">
              <w:rPr>
                <w:rFonts w:cs="Arial"/>
              </w:rPr>
              <w:t>servicer</w:t>
            </w:r>
            <w:proofErr w:type="spellEnd"/>
            <w:r w:rsidRPr="00590D1D">
              <w:rPr>
                <w:rFonts w:cs="Arial"/>
              </w:rPr>
              <w:t xml:space="preserve">, </w:t>
            </w:r>
            <w:proofErr w:type="spellStart"/>
            <w:r w:rsidRPr="00590D1D">
              <w:rPr>
                <w:rFonts w:cs="Arial"/>
              </w:rPr>
              <w:t>derec</w:t>
            </w:r>
            <w:proofErr w:type="spellEnd"/>
          </w:p>
        </w:tc>
      </w:tr>
      <w:tr w:rsidR="009E345A" w:rsidRPr="00590D1D" w14:paraId="02135D9F" w14:textId="77777777" w:rsidTr="00C9522E">
        <w:trPr>
          <w:trHeight w:val="300"/>
        </w:trPr>
        <w:tc>
          <w:tcPr>
            <w:tcW w:w="6232" w:type="dxa"/>
            <w:noWrap/>
            <w:hideMark/>
          </w:tcPr>
          <w:p w14:paraId="25B741A3" w14:textId="77777777" w:rsidR="009E345A" w:rsidRPr="00590D1D" w:rsidRDefault="009E345A" w:rsidP="00C9522E">
            <w:pPr>
              <w:spacing w:line="276" w:lineRule="auto"/>
              <w:rPr>
                <w:rFonts w:cs="Arial"/>
                <w:lang w:val="en-US"/>
              </w:rPr>
            </w:pPr>
            <w:r w:rsidRPr="00590D1D">
              <w:rPr>
                <w:rFonts w:cs="Arial"/>
                <w:lang w:val="en-US"/>
              </w:rPr>
              <w:t>T9013HK6 - Outstanding amount of loans transferred to non-FVCs and serviced by reporting agent. With impact on reported stock</w:t>
            </w:r>
          </w:p>
        </w:tc>
        <w:tc>
          <w:tcPr>
            <w:tcW w:w="2487" w:type="dxa"/>
            <w:noWrap/>
            <w:hideMark/>
          </w:tcPr>
          <w:p w14:paraId="025DBF58" w14:textId="77777777" w:rsidR="009E345A" w:rsidRPr="00590D1D" w:rsidRDefault="009E345A" w:rsidP="00C9522E">
            <w:pPr>
              <w:spacing w:line="276" w:lineRule="auto"/>
              <w:rPr>
                <w:rFonts w:cs="Arial"/>
              </w:rPr>
            </w:pPr>
            <w:r w:rsidRPr="00590D1D">
              <w:rPr>
                <w:rFonts w:cs="Arial"/>
              </w:rPr>
              <w:t>Stock (9013HK6) - Flow (9013HK5)</w:t>
            </w:r>
          </w:p>
        </w:tc>
        <w:tc>
          <w:tcPr>
            <w:tcW w:w="1527" w:type="dxa"/>
            <w:noWrap/>
            <w:hideMark/>
          </w:tcPr>
          <w:p w14:paraId="61823E20" w14:textId="77777777" w:rsidR="009E345A" w:rsidRPr="00590D1D" w:rsidRDefault="009E345A" w:rsidP="00C9522E">
            <w:pPr>
              <w:spacing w:line="276" w:lineRule="auto"/>
              <w:rPr>
                <w:rFonts w:cs="Arial"/>
              </w:rPr>
            </w:pPr>
            <w:r w:rsidRPr="00590D1D">
              <w:rPr>
                <w:rFonts w:cs="Arial"/>
              </w:rPr>
              <w:t>impact</w:t>
            </w:r>
          </w:p>
        </w:tc>
        <w:tc>
          <w:tcPr>
            <w:tcW w:w="1710" w:type="dxa"/>
            <w:noWrap/>
            <w:hideMark/>
          </w:tcPr>
          <w:p w14:paraId="5C964371" w14:textId="77777777" w:rsidR="009E345A" w:rsidRPr="00590D1D" w:rsidRDefault="009E345A" w:rsidP="00C9522E">
            <w:pPr>
              <w:spacing w:line="276" w:lineRule="auto"/>
              <w:rPr>
                <w:rFonts w:cs="Arial"/>
              </w:rPr>
            </w:pPr>
            <w:proofErr w:type="spellStart"/>
            <w:r w:rsidRPr="00590D1D">
              <w:rPr>
                <w:rFonts w:cs="Arial"/>
              </w:rPr>
              <w:t>other</w:t>
            </w:r>
            <w:proofErr w:type="spellEnd"/>
            <w:r w:rsidRPr="00590D1D">
              <w:rPr>
                <w:rFonts w:cs="Arial"/>
              </w:rPr>
              <w:t xml:space="preserve"> </w:t>
            </w:r>
            <w:proofErr w:type="spellStart"/>
            <w:r w:rsidRPr="00590D1D">
              <w:rPr>
                <w:rFonts w:cs="Arial"/>
              </w:rPr>
              <w:t>loan</w:t>
            </w:r>
            <w:proofErr w:type="spellEnd"/>
            <w:r w:rsidRPr="00590D1D">
              <w:rPr>
                <w:rFonts w:cs="Arial"/>
              </w:rPr>
              <w:t xml:space="preserve"> transfer</w:t>
            </w:r>
          </w:p>
        </w:tc>
        <w:tc>
          <w:tcPr>
            <w:tcW w:w="2781" w:type="dxa"/>
            <w:noWrap/>
            <w:hideMark/>
          </w:tcPr>
          <w:p w14:paraId="0BA63386" w14:textId="77777777" w:rsidR="009E345A" w:rsidRPr="00590D1D" w:rsidRDefault="009E345A" w:rsidP="00C9522E">
            <w:pPr>
              <w:spacing w:line="276" w:lineRule="auto"/>
              <w:rPr>
                <w:rFonts w:cs="Arial"/>
                <w:lang w:val="en-US"/>
              </w:rPr>
            </w:pPr>
            <w:r w:rsidRPr="00590D1D">
              <w:rPr>
                <w:rFonts w:cs="Arial"/>
                <w:lang w:val="en-US"/>
              </w:rPr>
              <w:t xml:space="preserve">MFI is servicer, </w:t>
            </w:r>
            <w:proofErr w:type="spellStart"/>
            <w:r w:rsidRPr="00590D1D">
              <w:rPr>
                <w:rFonts w:cs="Arial"/>
                <w:lang w:val="en-US"/>
              </w:rPr>
              <w:t>derec</w:t>
            </w:r>
            <w:proofErr w:type="spellEnd"/>
          </w:p>
        </w:tc>
      </w:tr>
      <w:tr w:rsidR="009E345A" w:rsidRPr="007236F3" w14:paraId="4EF74F36" w14:textId="77777777" w:rsidTr="00C9522E">
        <w:trPr>
          <w:trHeight w:val="300"/>
        </w:trPr>
        <w:tc>
          <w:tcPr>
            <w:tcW w:w="6232" w:type="dxa"/>
            <w:noWrap/>
            <w:hideMark/>
          </w:tcPr>
          <w:p w14:paraId="3BFB4A3E" w14:textId="77777777" w:rsidR="009E345A" w:rsidRPr="00590D1D" w:rsidRDefault="009E345A" w:rsidP="00C9522E">
            <w:pPr>
              <w:spacing w:line="276" w:lineRule="auto"/>
              <w:rPr>
                <w:rFonts w:cs="Arial"/>
                <w:lang w:val="en-US"/>
              </w:rPr>
            </w:pPr>
            <w:r w:rsidRPr="00590D1D">
              <w:rPr>
                <w:rFonts w:cs="Arial"/>
                <w:lang w:val="en-US"/>
              </w:rPr>
              <w:t>T9013HK7 - Net flows (sales less repurchases) of loans transferred to non-FVCs. Without impact on reported stock</w:t>
            </w:r>
          </w:p>
        </w:tc>
        <w:tc>
          <w:tcPr>
            <w:tcW w:w="2487" w:type="dxa"/>
            <w:noWrap/>
            <w:hideMark/>
          </w:tcPr>
          <w:p w14:paraId="325C102E" w14:textId="77777777" w:rsidR="009E345A" w:rsidRPr="00590D1D" w:rsidRDefault="009E345A" w:rsidP="00C9522E">
            <w:pPr>
              <w:spacing w:line="276" w:lineRule="auto"/>
              <w:rPr>
                <w:rFonts w:cs="Arial"/>
              </w:rPr>
            </w:pPr>
            <w:r w:rsidRPr="00590D1D">
              <w:rPr>
                <w:rFonts w:cs="Arial"/>
              </w:rPr>
              <w:t>Flow (9013HK7) - Stock (9013HK8)</w:t>
            </w:r>
          </w:p>
        </w:tc>
        <w:tc>
          <w:tcPr>
            <w:tcW w:w="1527" w:type="dxa"/>
            <w:noWrap/>
            <w:hideMark/>
          </w:tcPr>
          <w:p w14:paraId="10E59586" w14:textId="77777777" w:rsidR="009E345A" w:rsidRPr="00590D1D" w:rsidRDefault="009E345A" w:rsidP="00C9522E">
            <w:pPr>
              <w:spacing w:line="276" w:lineRule="auto"/>
              <w:rPr>
                <w:rFonts w:cs="Arial"/>
              </w:rPr>
            </w:pPr>
            <w:r w:rsidRPr="00590D1D">
              <w:rPr>
                <w:rFonts w:cs="Arial"/>
              </w:rPr>
              <w:t>no impact</w:t>
            </w:r>
          </w:p>
        </w:tc>
        <w:tc>
          <w:tcPr>
            <w:tcW w:w="1710" w:type="dxa"/>
            <w:noWrap/>
            <w:hideMark/>
          </w:tcPr>
          <w:p w14:paraId="52A5DCDE" w14:textId="77777777" w:rsidR="009E345A" w:rsidRPr="00590D1D" w:rsidRDefault="009E345A" w:rsidP="00C9522E">
            <w:pPr>
              <w:spacing w:line="276" w:lineRule="auto"/>
              <w:rPr>
                <w:rFonts w:cs="Arial"/>
              </w:rPr>
            </w:pPr>
            <w:proofErr w:type="spellStart"/>
            <w:r w:rsidRPr="00590D1D">
              <w:rPr>
                <w:rFonts w:cs="Arial"/>
              </w:rPr>
              <w:t>other</w:t>
            </w:r>
            <w:proofErr w:type="spellEnd"/>
            <w:r w:rsidRPr="00590D1D">
              <w:rPr>
                <w:rFonts w:cs="Arial"/>
              </w:rPr>
              <w:t xml:space="preserve"> </w:t>
            </w:r>
            <w:proofErr w:type="spellStart"/>
            <w:r w:rsidRPr="00590D1D">
              <w:rPr>
                <w:rFonts w:cs="Arial"/>
              </w:rPr>
              <w:t>loan</w:t>
            </w:r>
            <w:proofErr w:type="spellEnd"/>
            <w:r w:rsidRPr="00590D1D">
              <w:rPr>
                <w:rFonts w:cs="Arial"/>
              </w:rPr>
              <w:t xml:space="preserve"> transfer</w:t>
            </w:r>
          </w:p>
        </w:tc>
        <w:tc>
          <w:tcPr>
            <w:tcW w:w="2781" w:type="dxa"/>
            <w:noWrap/>
            <w:hideMark/>
          </w:tcPr>
          <w:p w14:paraId="40170A6A" w14:textId="77777777" w:rsidR="009E345A" w:rsidRPr="00590D1D" w:rsidRDefault="009E345A" w:rsidP="00C9522E">
            <w:pPr>
              <w:spacing w:line="276" w:lineRule="auto"/>
              <w:rPr>
                <w:rFonts w:cs="Arial"/>
                <w:lang w:val="en-US"/>
              </w:rPr>
            </w:pPr>
            <w:r w:rsidRPr="00590D1D">
              <w:rPr>
                <w:rFonts w:cs="Arial"/>
                <w:lang w:val="en-US"/>
              </w:rPr>
              <w:t xml:space="preserve">MFI is servicer, not </w:t>
            </w:r>
            <w:proofErr w:type="spellStart"/>
            <w:r w:rsidRPr="00590D1D">
              <w:rPr>
                <w:rFonts w:cs="Arial"/>
                <w:lang w:val="en-US"/>
              </w:rPr>
              <w:t>derec</w:t>
            </w:r>
            <w:proofErr w:type="spellEnd"/>
          </w:p>
        </w:tc>
      </w:tr>
      <w:tr w:rsidR="009E345A" w:rsidRPr="007236F3" w14:paraId="4FBDBDC2" w14:textId="77777777" w:rsidTr="00C9522E">
        <w:trPr>
          <w:trHeight w:val="300"/>
        </w:trPr>
        <w:tc>
          <w:tcPr>
            <w:tcW w:w="6232" w:type="dxa"/>
            <w:noWrap/>
            <w:hideMark/>
          </w:tcPr>
          <w:p w14:paraId="00A6A822" w14:textId="77777777" w:rsidR="009E345A" w:rsidRPr="00590D1D" w:rsidRDefault="009E345A" w:rsidP="00C9522E">
            <w:pPr>
              <w:spacing w:line="276" w:lineRule="auto"/>
              <w:rPr>
                <w:rFonts w:cs="Arial"/>
                <w:lang w:val="en-US"/>
              </w:rPr>
            </w:pPr>
            <w:r w:rsidRPr="00590D1D">
              <w:rPr>
                <w:rFonts w:cs="Arial"/>
                <w:lang w:val="en-US"/>
              </w:rPr>
              <w:t>T9013HK8 - Outstanding amount of loans transferred to non-FVCs and serviced by reporting agent. Without impact on reported stock</w:t>
            </w:r>
          </w:p>
        </w:tc>
        <w:tc>
          <w:tcPr>
            <w:tcW w:w="2487" w:type="dxa"/>
            <w:noWrap/>
            <w:hideMark/>
          </w:tcPr>
          <w:p w14:paraId="148CC7D7" w14:textId="77777777" w:rsidR="009E345A" w:rsidRPr="00590D1D" w:rsidRDefault="009E345A" w:rsidP="00C9522E">
            <w:pPr>
              <w:spacing w:line="276" w:lineRule="auto"/>
              <w:rPr>
                <w:rFonts w:cs="Arial"/>
              </w:rPr>
            </w:pPr>
            <w:r w:rsidRPr="00590D1D">
              <w:rPr>
                <w:rFonts w:cs="Arial"/>
              </w:rPr>
              <w:t>Stock (9013HK8) - Flow (9013HK7)</w:t>
            </w:r>
          </w:p>
        </w:tc>
        <w:tc>
          <w:tcPr>
            <w:tcW w:w="1527" w:type="dxa"/>
            <w:noWrap/>
            <w:hideMark/>
          </w:tcPr>
          <w:p w14:paraId="77DB5261" w14:textId="77777777" w:rsidR="009E345A" w:rsidRPr="00590D1D" w:rsidRDefault="009E345A" w:rsidP="00C9522E">
            <w:pPr>
              <w:spacing w:line="276" w:lineRule="auto"/>
              <w:rPr>
                <w:rFonts w:cs="Arial"/>
              </w:rPr>
            </w:pPr>
            <w:r w:rsidRPr="00590D1D">
              <w:rPr>
                <w:rFonts w:cs="Arial"/>
              </w:rPr>
              <w:t>no impact</w:t>
            </w:r>
          </w:p>
        </w:tc>
        <w:tc>
          <w:tcPr>
            <w:tcW w:w="1710" w:type="dxa"/>
            <w:noWrap/>
            <w:hideMark/>
          </w:tcPr>
          <w:p w14:paraId="33F43F53" w14:textId="77777777" w:rsidR="009E345A" w:rsidRPr="00590D1D" w:rsidRDefault="009E345A" w:rsidP="00C9522E">
            <w:pPr>
              <w:spacing w:line="276" w:lineRule="auto"/>
              <w:rPr>
                <w:rFonts w:cs="Arial"/>
              </w:rPr>
            </w:pPr>
            <w:proofErr w:type="spellStart"/>
            <w:r w:rsidRPr="00590D1D">
              <w:rPr>
                <w:rFonts w:cs="Arial"/>
              </w:rPr>
              <w:t>other</w:t>
            </w:r>
            <w:proofErr w:type="spellEnd"/>
            <w:r w:rsidRPr="00590D1D">
              <w:rPr>
                <w:rFonts w:cs="Arial"/>
              </w:rPr>
              <w:t xml:space="preserve"> </w:t>
            </w:r>
            <w:proofErr w:type="spellStart"/>
            <w:r w:rsidRPr="00590D1D">
              <w:rPr>
                <w:rFonts w:cs="Arial"/>
              </w:rPr>
              <w:t>loan</w:t>
            </w:r>
            <w:proofErr w:type="spellEnd"/>
            <w:r w:rsidRPr="00590D1D">
              <w:rPr>
                <w:rFonts w:cs="Arial"/>
              </w:rPr>
              <w:t xml:space="preserve"> transfer</w:t>
            </w:r>
          </w:p>
        </w:tc>
        <w:tc>
          <w:tcPr>
            <w:tcW w:w="2781" w:type="dxa"/>
            <w:noWrap/>
            <w:hideMark/>
          </w:tcPr>
          <w:p w14:paraId="3C2E1A8F" w14:textId="77777777" w:rsidR="009E345A" w:rsidRPr="00590D1D" w:rsidRDefault="009E345A" w:rsidP="00C9522E">
            <w:pPr>
              <w:spacing w:line="276" w:lineRule="auto"/>
              <w:rPr>
                <w:rFonts w:cs="Arial"/>
                <w:lang w:val="en-US"/>
              </w:rPr>
            </w:pPr>
            <w:r w:rsidRPr="00590D1D">
              <w:rPr>
                <w:rFonts w:cs="Arial"/>
                <w:lang w:val="en-US"/>
              </w:rPr>
              <w:t xml:space="preserve">MFI is servicer, not </w:t>
            </w:r>
            <w:proofErr w:type="spellStart"/>
            <w:r w:rsidRPr="00590D1D">
              <w:rPr>
                <w:rFonts w:cs="Arial"/>
                <w:lang w:val="en-US"/>
              </w:rPr>
              <w:t>derec</w:t>
            </w:r>
            <w:proofErr w:type="spellEnd"/>
          </w:p>
        </w:tc>
      </w:tr>
    </w:tbl>
    <w:p w14:paraId="3D25A533" w14:textId="77777777" w:rsidR="009E345A" w:rsidRPr="00D70D17" w:rsidRDefault="009E345A" w:rsidP="009E345A">
      <w:pPr>
        <w:rPr>
          <w:lang w:val="en-US"/>
        </w:rPr>
      </w:pPr>
    </w:p>
    <w:p w14:paraId="683F7AAE" w14:textId="77777777" w:rsidR="009E345A" w:rsidRDefault="009E345A" w:rsidP="009E345A">
      <w:pPr>
        <w:rPr>
          <w:lang w:val="en-US"/>
        </w:rPr>
      </w:pPr>
    </w:p>
    <w:p w14:paraId="6652474A" w14:textId="77777777" w:rsidR="00D774A3" w:rsidRPr="0099325F" w:rsidRDefault="00D774A3" w:rsidP="009E345A">
      <w:pPr>
        <w:rPr>
          <w:lang w:val="en-US"/>
        </w:rPr>
      </w:pPr>
    </w:p>
    <w:sectPr w:rsidR="00D774A3" w:rsidRPr="0099325F" w:rsidSect="000E6612">
      <w:pgSz w:w="16838" w:h="11906" w:orient="landscape"/>
      <w:pgMar w:top="1474" w:right="3090" w:bottom="3175"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11AF" w14:textId="77777777" w:rsidR="005B7167" w:rsidRDefault="005B7167">
      <w:pPr>
        <w:spacing w:line="240" w:lineRule="auto"/>
      </w:pPr>
      <w:r>
        <w:separator/>
      </w:r>
    </w:p>
  </w:endnote>
  <w:endnote w:type="continuationSeparator" w:id="0">
    <w:p w14:paraId="02F577B1" w14:textId="77777777" w:rsidR="005B7167" w:rsidRDefault="005B7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445F" w14:textId="77777777" w:rsidR="005B7167" w:rsidRDefault="005B7167">
      <w:pPr>
        <w:spacing w:line="240" w:lineRule="auto"/>
      </w:pPr>
      <w:r>
        <w:separator/>
      </w:r>
    </w:p>
  </w:footnote>
  <w:footnote w:type="continuationSeparator" w:id="0">
    <w:p w14:paraId="4FB5CD56" w14:textId="77777777" w:rsidR="005B7167" w:rsidRDefault="005B71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C3CD" w14:textId="77777777" w:rsidR="005C0F2E" w:rsidRDefault="007B5D18">
    <w:pPr>
      <w:pStyle w:val="Koptekst"/>
    </w:pPr>
    <w:r>
      <w:rPr>
        <w:b/>
        <w:noProof/>
        <w:lang w:eastAsia="nl-NL"/>
      </w:rPr>
      <mc:AlternateContent>
        <mc:Choice Requires="wps">
          <w:drawing>
            <wp:anchor distT="0" distB="0" distL="114300" distR="114300" simplePos="0" relativeHeight="251664384" behindDoc="1" locked="0" layoutInCell="1" allowOverlap="1" wp14:anchorId="137DDCDD" wp14:editId="5E8ECB2C">
              <wp:simplePos x="0" y="0"/>
              <wp:positionH relativeFrom="page">
                <wp:posOffset>929005</wp:posOffset>
              </wp:positionH>
              <wp:positionV relativeFrom="page">
                <wp:posOffset>360045</wp:posOffset>
              </wp:positionV>
              <wp:extent cx="3532680" cy="97920"/>
              <wp:effectExtent l="0" t="0" r="10795" b="0"/>
              <wp:wrapNone/>
              <wp:docPr id="1" name="Tekstvak 1"/>
              <wp:cNvGraphicFramePr/>
              <a:graphic xmlns:a="http://schemas.openxmlformats.org/drawingml/2006/main">
                <a:graphicData uri="http://schemas.microsoft.com/office/word/2010/wordprocessingShape">
                  <wps:wsp>
                    <wps:cNvSpPr txBox="1"/>
                    <wps:spPr>
                      <a:xfrm>
                        <a:off x="0" y="0"/>
                        <a:ext cx="3532680" cy="97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65665" w14:textId="77777777" w:rsidR="00363C16" w:rsidRPr="00F424B5" w:rsidRDefault="005B7167" w:rsidP="00363C16">
                          <w:pPr>
                            <w:pStyle w:val="DNBmark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DDCDD" id="_x0000_t202" coordsize="21600,21600" o:spt="202" path="m,l,21600r21600,l21600,xe">
              <v:stroke joinstyle="miter"/>
              <v:path gradientshapeok="t" o:connecttype="rect"/>
            </v:shapetype>
            <v:shape id="Tekstvak 1" o:spid="_x0000_s1026" type="#_x0000_t202" style="position:absolute;margin-left:73.15pt;margin-top:28.35pt;width:278.15pt;height:7.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" filled="f" stroked="f" strokeweight=".5pt">
              <v:textbox inset="0,0,0,0">
                <w:txbxContent>
                  <w:p w14:paraId="19B65665" w14:textId="77777777" w:rsidR="00363C16" w:rsidRPr="00F424B5" w:rsidRDefault="005B7167" w:rsidP="00363C16">
                    <w:pPr>
                      <w:pStyle w:val="DNBmarking"/>
                    </w:pPr>
                  </w:p>
                </w:txbxContent>
              </v:textbox>
              <w10:wrap anchorx="page" anchory="page"/>
            </v:shape>
          </w:pict>
        </mc:Fallback>
      </mc:AlternateContent>
    </w:r>
    <w:r>
      <w:rPr>
        <w:noProof/>
        <w:lang w:eastAsia="nl-NL"/>
      </w:rPr>
      <w:drawing>
        <wp:anchor distT="0" distB="0" distL="114300" distR="114300" simplePos="0" relativeHeight="251659264" behindDoc="0" locked="0" layoutInCell="1" allowOverlap="1" wp14:anchorId="27153C5D" wp14:editId="74B98C68">
          <wp:simplePos x="0" y="0"/>
          <wp:positionH relativeFrom="page">
            <wp:posOffset>824230</wp:posOffset>
          </wp:positionH>
          <wp:positionV relativeFrom="page">
            <wp:posOffset>118745</wp:posOffset>
          </wp:positionV>
          <wp:extent cx="1122840" cy="324000"/>
          <wp:effectExtent l="0" t="0" r="0" b="0"/>
          <wp:wrapNone/>
          <wp:docPr id="17" name="dnb_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0288" behindDoc="0" locked="0" layoutInCell="1" allowOverlap="1" wp14:anchorId="0D4C5CB5" wp14:editId="458D4706">
          <wp:simplePos x="0" y="0"/>
          <wp:positionH relativeFrom="page">
            <wp:posOffset>824230</wp:posOffset>
          </wp:positionH>
          <wp:positionV relativeFrom="page">
            <wp:posOffset>118745</wp:posOffset>
          </wp:positionV>
          <wp:extent cx="1122840" cy="324000"/>
          <wp:effectExtent l="0" t="0" r="0" b="0"/>
          <wp:wrapNone/>
          <wp:docPr id="18"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0" locked="0" layoutInCell="1" allowOverlap="1" wp14:anchorId="57EA7EA8" wp14:editId="5A09C5D3">
          <wp:simplePos x="0" y="0"/>
          <wp:positionH relativeFrom="page">
            <wp:posOffset>824230</wp:posOffset>
          </wp:positionH>
          <wp:positionV relativeFrom="page">
            <wp:posOffset>118745</wp:posOffset>
          </wp:positionV>
          <wp:extent cx="1122840" cy="324000"/>
          <wp:effectExtent l="0" t="0" r="0" b="0"/>
          <wp:wrapNone/>
          <wp:docPr id="19"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2336" behindDoc="0" locked="0" layoutInCell="1" allowOverlap="1" wp14:anchorId="43F724D7" wp14:editId="7B4D293D">
          <wp:simplePos x="0" y="0"/>
          <wp:positionH relativeFrom="page">
            <wp:posOffset>824230</wp:posOffset>
          </wp:positionH>
          <wp:positionV relativeFrom="page">
            <wp:posOffset>118745</wp:posOffset>
          </wp:positionV>
          <wp:extent cx="1122840" cy="324000"/>
          <wp:effectExtent l="0" t="0" r="0" b="0"/>
          <wp:wrapNone/>
          <wp:docPr id="20"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3360" behindDoc="0" locked="0" layoutInCell="1" allowOverlap="1" wp14:anchorId="5A3400E5" wp14:editId="18133539">
          <wp:simplePos x="0" y="0"/>
          <wp:positionH relativeFrom="page">
            <wp:posOffset>824230</wp:posOffset>
          </wp:positionH>
          <wp:positionV relativeFrom="page">
            <wp:posOffset>118745</wp:posOffset>
          </wp:positionV>
          <wp:extent cx="1122840" cy="326520"/>
          <wp:effectExtent l="0" t="0" r="0" b="0"/>
          <wp:wrapNone/>
          <wp:docPr id="21"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840" cy="326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C7074"/>
    <w:multiLevelType w:val="hybridMultilevel"/>
    <w:tmpl w:val="1AB633C0"/>
    <w:lvl w:ilvl="0" w:tplc="A4FAA1FE">
      <w:start w:val="1"/>
      <w:numFmt w:val="decimal"/>
      <w:lvlText w:val="%1."/>
      <w:lvlJc w:val="left"/>
      <w:pPr>
        <w:ind w:left="107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F2A19C2"/>
    <w:multiLevelType w:val="multilevel"/>
    <w:tmpl w:val="C84C85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5A"/>
    <w:rsid w:val="0011117C"/>
    <w:rsid w:val="00127BFD"/>
    <w:rsid w:val="001D35E1"/>
    <w:rsid w:val="001E1900"/>
    <w:rsid w:val="00236A87"/>
    <w:rsid w:val="00241D58"/>
    <w:rsid w:val="002A71FE"/>
    <w:rsid w:val="002C1265"/>
    <w:rsid w:val="002D5D8B"/>
    <w:rsid w:val="00343231"/>
    <w:rsid w:val="003808CE"/>
    <w:rsid w:val="00393023"/>
    <w:rsid w:val="00394F8B"/>
    <w:rsid w:val="00430AC4"/>
    <w:rsid w:val="00456185"/>
    <w:rsid w:val="0051108D"/>
    <w:rsid w:val="005B7167"/>
    <w:rsid w:val="007236F3"/>
    <w:rsid w:val="007726FD"/>
    <w:rsid w:val="007B5D18"/>
    <w:rsid w:val="009608A0"/>
    <w:rsid w:val="00990127"/>
    <w:rsid w:val="0099325F"/>
    <w:rsid w:val="009E345A"/>
    <w:rsid w:val="00AB4F33"/>
    <w:rsid w:val="00AE0EBA"/>
    <w:rsid w:val="00B55137"/>
    <w:rsid w:val="00B67636"/>
    <w:rsid w:val="00CF6704"/>
    <w:rsid w:val="00D774A3"/>
    <w:rsid w:val="00E154D2"/>
    <w:rsid w:val="00EF636D"/>
    <w:rsid w:val="00F02FBE"/>
    <w:rsid w:val="00F102E8"/>
    <w:rsid w:val="00F97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0AAD"/>
  <w15:chartTrackingRefBased/>
  <w15:docId w15:val="{6E5983A9-F5E1-48F1-B511-125B4FC7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E345A"/>
    <w:pPr>
      <w:spacing w:after="0" w:line="227" w:lineRule="atLeast"/>
    </w:pPr>
    <w:rPr>
      <w:rFonts w:ascii="Verdana" w:hAnsi="Verdana"/>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345A"/>
    <w:pPr>
      <w:tabs>
        <w:tab w:val="center" w:pos="4536"/>
        <w:tab w:val="right" w:pos="9072"/>
      </w:tabs>
    </w:pPr>
  </w:style>
  <w:style w:type="character" w:customStyle="1" w:styleId="KoptekstChar">
    <w:name w:val="Koptekst Char"/>
    <w:basedOn w:val="Standaardalinea-lettertype"/>
    <w:link w:val="Koptekst"/>
    <w:uiPriority w:val="99"/>
    <w:rsid w:val="009E345A"/>
    <w:rPr>
      <w:rFonts w:ascii="Verdana" w:hAnsi="Verdana"/>
      <w:sz w:val="17"/>
      <w:szCs w:val="17"/>
    </w:rPr>
  </w:style>
  <w:style w:type="paragraph" w:styleId="Lijstalinea">
    <w:name w:val="List Paragraph"/>
    <w:basedOn w:val="Standaard"/>
    <w:uiPriority w:val="34"/>
    <w:rsid w:val="009E345A"/>
    <w:pPr>
      <w:ind w:left="720"/>
      <w:contextualSpacing/>
    </w:pPr>
  </w:style>
  <w:style w:type="table" w:styleId="Tabelraster">
    <w:name w:val="Table Grid"/>
    <w:basedOn w:val="Standaardtabel"/>
    <w:uiPriority w:val="39"/>
    <w:rsid w:val="009E345A"/>
    <w:pPr>
      <w:spacing w:after="0" w:line="240" w:lineRule="auto"/>
    </w:pPr>
    <w:rPr>
      <w:rFonts w:ascii="Verdana" w:hAnsi="Verdana"/>
      <w:sz w:val="17"/>
      <w:szCs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Bmarking">
    <w:name w:val="DNBmarking"/>
    <w:basedOn w:val="Standaard"/>
    <w:qFormat/>
    <w:rsid w:val="009E345A"/>
    <w:pPr>
      <w:spacing w:line="240" w:lineRule="auto"/>
    </w:pPr>
    <w:rPr>
      <w:rFonts w:asciiTheme="minorHAnsi" w:hAnsiTheme="minorHAnsi"/>
      <w:color w:val="ADADAD"/>
      <w:sz w:val="12"/>
      <w:szCs w:val="12"/>
    </w:rPr>
  </w:style>
  <w:style w:type="character" w:styleId="Verwijzingopmerking">
    <w:name w:val="annotation reference"/>
    <w:basedOn w:val="Standaardalinea-lettertype"/>
    <w:uiPriority w:val="99"/>
    <w:semiHidden/>
    <w:unhideWhenUsed/>
    <w:rsid w:val="002C1265"/>
    <w:rPr>
      <w:sz w:val="16"/>
      <w:szCs w:val="16"/>
    </w:rPr>
  </w:style>
  <w:style w:type="paragraph" w:styleId="Tekstopmerking">
    <w:name w:val="annotation text"/>
    <w:basedOn w:val="Standaard"/>
    <w:link w:val="TekstopmerkingChar"/>
    <w:uiPriority w:val="99"/>
    <w:semiHidden/>
    <w:unhideWhenUsed/>
    <w:rsid w:val="002C126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1265"/>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2C1265"/>
    <w:rPr>
      <w:b/>
      <w:bCs/>
    </w:rPr>
  </w:style>
  <w:style w:type="character" w:customStyle="1" w:styleId="OnderwerpvanopmerkingChar">
    <w:name w:val="Onderwerp van opmerking Char"/>
    <w:basedOn w:val="TekstopmerkingChar"/>
    <w:link w:val="Onderwerpvanopmerking"/>
    <w:uiPriority w:val="99"/>
    <w:semiHidden/>
    <w:rsid w:val="002C1265"/>
    <w:rPr>
      <w:rFonts w:ascii="Verdana" w:hAnsi="Verdana"/>
      <w:b/>
      <w:bCs/>
      <w:sz w:val="20"/>
      <w:szCs w:val="20"/>
    </w:rPr>
  </w:style>
  <w:style w:type="paragraph" w:styleId="Ballontekst">
    <w:name w:val="Balloon Text"/>
    <w:basedOn w:val="Standaard"/>
    <w:link w:val="BallontekstChar"/>
    <w:uiPriority w:val="99"/>
    <w:semiHidden/>
    <w:unhideWhenUsed/>
    <w:rsid w:val="002C126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1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97143">
      <w:bodyDiv w:val="1"/>
      <w:marLeft w:val="0"/>
      <w:marRight w:val="0"/>
      <w:marTop w:val="0"/>
      <w:marBottom w:val="0"/>
      <w:divBdr>
        <w:top w:val="none" w:sz="0" w:space="0" w:color="auto"/>
        <w:left w:val="none" w:sz="0" w:space="0" w:color="auto"/>
        <w:bottom w:val="none" w:sz="0" w:space="0" w:color="auto"/>
        <w:right w:val="none" w:sz="0" w:space="0" w:color="auto"/>
      </w:divBdr>
      <w:divsChild>
        <w:div w:id="1671710599">
          <w:marLeft w:val="0"/>
          <w:marRight w:val="0"/>
          <w:marTop w:val="0"/>
          <w:marBottom w:val="0"/>
          <w:divBdr>
            <w:top w:val="none" w:sz="0" w:space="0" w:color="auto"/>
            <w:left w:val="none" w:sz="0" w:space="0" w:color="auto"/>
            <w:bottom w:val="none" w:sz="0" w:space="0" w:color="auto"/>
            <w:right w:val="none" w:sz="0" w:space="0" w:color="auto"/>
          </w:divBdr>
        </w:div>
      </w:divsChild>
    </w:div>
    <w:div w:id="1718234016">
      <w:bodyDiv w:val="1"/>
      <w:marLeft w:val="0"/>
      <w:marRight w:val="0"/>
      <w:marTop w:val="0"/>
      <w:marBottom w:val="0"/>
      <w:divBdr>
        <w:top w:val="none" w:sz="0" w:space="0" w:color="auto"/>
        <w:left w:val="none" w:sz="0" w:space="0" w:color="auto"/>
        <w:bottom w:val="none" w:sz="0" w:space="0" w:color="auto"/>
        <w:right w:val="none" w:sz="0" w:space="0" w:color="auto"/>
      </w:divBdr>
    </w:div>
    <w:div w:id="17939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2103</Words>
  <Characters>11569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Ruhani, I.</dc:creator>
  <cp:keywords/>
  <dc:description/>
  <cp:lastModifiedBy>Ruhani, I. (Ilire) (STAT_MBS)</cp:lastModifiedBy>
  <cp:revision>3</cp:revision>
  <dcterms:created xsi:type="dcterms:W3CDTF">2021-09-30T14:32:00Z</dcterms:created>
  <dcterms:modified xsi:type="dcterms:W3CDTF">2021-09-30T14:56:00Z</dcterms:modified>
</cp:coreProperties>
</file>