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6"/>
      </w:tblGrid>
      <w:tr w:rsidR="00F75762" w:rsidRPr="009E52FF" w14:paraId="474AFDE6" w14:textId="77777777" w:rsidTr="000F5017">
        <w:tc>
          <w:tcPr>
            <w:tcW w:w="8152" w:type="dxa"/>
          </w:tcPr>
          <w:tbl>
            <w:tblPr>
              <w:tblW w:w="7938" w:type="dxa"/>
              <w:tblCellMar>
                <w:top w:w="108" w:type="dxa"/>
                <w:bottom w:w="108" w:type="dxa"/>
              </w:tblCellMar>
              <w:tblLook w:val="04A0" w:firstRow="1" w:lastRow="0" w:firstColumn="1" w:lastColumn="0" w:noHBand="0" w:noVBand="1"/>
            </w:tblPr>
            <w:tblGrid>
              <w:gridCol w:w="7938"/>
            </w:tblGrid>
            <w:tr w:rsidR="00F75762" w:rsidRPr="009E52FF" w14:paraId="6BC39659" w14:textId="77777777" w:rsidTr="00F84EB3">
              <w:trPr>
                <w:trHeight w:val="2013"/>
              </w:trPr>
              <w:tc>
                <w:tcPr>
                  <w:tcW w:w="5000" w:type="pct"/>
                  <w:shd w:val="clear" w:color="auto" w:fill="auto"/>
                </w:tcPr>
                <w:tbl>
                  <w:tblPr>
                    <w:tblW w:w="5000" w:type="pct"/>
                    <w:shd w:val="clear" w:color="auto" w:fill="44287F"/>
                    <w:tblCellMar>
                      <w:left w:w="0" w:type="dxa"/>
                      <w:right w:w="0" w:type="dxa"/>
                    </w:tblCellMar>
                    <w:tblLook w:val="04A0" w:firstRow="1" w:lastRow="0" w:firstColumn="1" w:lastColumn="0" w:noHBand="0" w:noVBand="1"/>
                  </w:tblPr>
                  <w:tblGrid>
                    <w:gridCol w:w="4570"/>
                    <w:gridCol w:w="3152"/>
                  </w:tblGrid>
                  <w:tr w:rsidR="00F75762" w:rsidRPr="009E52FF" w14:paraId="40C7A7C4" w14:textId="77777777" w:rsidTr="00F84EB3">
                    <w:trPr>
                      <w:trHeight w:val="113"/>
                    </w:trPr>
                    <w:tc>
                      <w:tcPr>
                        <w:tcW w:w="5000" w:type="pct"/>
                        <w:gridSpan w:val="2"/>
                        <w:shd w:val="clear" w:color="auto" w:fill="73C2FA"/>
                        <w:tcMar>
                          <w:top w:w="170" w:type="dxa"/>
                          <w:left w:w="170" w:type="dxa"/>
                          <w:bottom w:w="170" w:type="dxa"/>
                        </w:tcMar>
                      </w:tcPr>
                      <w:p w14:paraId="13ABCC41" w14:textId="77777777" w:rsidR="00F75762" w:rsidRPr="009E52FF" w:rsidRDefault="00F75762" w:rsidP="00F84EB3">
                        <w:pPr>
                          <w:spacing w:line="240" w:lineRule="auto"/>
                          <w:rPr>
                            <w:b/>
                            <w:color w:val="FEFEFE"/>
                            <w:sz w:val="20"/>
                            <w:szCs w:val="20"/>
                            <w:lang w:val="en-US"/>
                            <w14:textFill>
                              <w14:solidFill>
                                <w14:srgbClr w14:val="FEFEFE">
                                  <w14:alpha w14:val="30000"/>
                                </w14:srgbClr>
                              </w14:solidFill>
                            </w14:textFill>
                          </w:rPr>
                        </w:pPr>
                        <w:bookmarkStart w:id="0" w:name="_Hlk153966022"/>
                        <w:bookmarkStart w:id="1" w:name="_Hlk153966581"/>
                      </w:p>
                    </w:tc>
                  </w:tr>
                  <w:tr w:rsidR="00F75762" w:rsidRPr="009E52FF" w14:paraId="5B0E3ED6" w14:textId="77777777" w:rsidTr="00F84EB3">
                    <w:trPr>
                      <w:trHeight w:hRule="exact" w:val="1123"/>
                    </w:trPr>
                    <w:tc>
                      <w:tcPr>
                        <w:tcW w:w="2959" w:type="pct"/>
                        <w:shd w:val="clear" w:color="auto" w:fill="1226AA"/>
                        <w:tcMar>
                          <w:top w:w="0" w:type="dxa"/>
                          <w:left w:w="170" w:type="dxa"/>
                        </w:tcMar>
                      </w:tcPr>
                      <w:p w14:paraId="467BCEFD" w14:textId="6D6AB772" w:rsidR="00F75762" w:rsidRPr="009E52FF" w:rsidRDefault="00F75762" w:rsidP="00F84EB3">
                        <w:pPr>
                          <w:spacing w:before="240" w:line="276" w:lineRule="auto"/>
                          <w:rPr>
                            <w:b/>
                            <w:color w:val="FEFEFE"/>
                            <w:sz w:val="20"/>
                            <w:szCs w:val="20"/>
                            <w:lang w:val="en-GB"/>
                            <w14:textFill>
                              <w14:solidFill>
                                <w14:srgbClr w14:val="FEFEFE">
                                  <w14:alpha w14:val="30000"/>
                                </w14:srgbClr>
                              </w14:solidFill>
                            </w14:textFill>
                          </w:rPr>
                        </w:pPr>
                        <w:r w:rsidRPr="009E52FF">
                          <w:rPr>
                            <w:b/>
                            <w:color w:val="FEFEFE"/>
                            <w:sz w:val="20"/>
                            <w:szCs w:val="20"/>
                            <w:lang w:val="en-GB"/>
                            <w14:textFill>
                              <w14:solidFill>
                                <w14:srgbClr w14:val="FEFEFE">
                                  <w14:alpha w14:val="30000"/>
                                </w14:srgbClr>
                              </w14:solidFill>
                            </w14:textFill>
                          </w:rPr>
                          <w:fldChar w:fldCharType="begin"/>
                        </w:r>
                        <w:r w:rsidRPr="009E52FF">
                          <w:rPr>
                            <w:b/>
                            <w:color w:val="FEFEFE"/>
                            <w:sz w:val="20"/>
                            <w:szCs w:val="20"/>
                            <w:lang w:val="en-GB"/>
                            <w14:textFill>
                              <w14:solidFill>
                                <w14:srgbClr w14:val="FEFEFE">
                                  <w14:alpha w14:val="30000"/>
                                </w14:srgbClr>
                              </w14:solidFill>
                            </w14:textFill>
                          </w:rPr>
                          <w:instrText xml:space="preserve"> TIME \@ "MMMM yyyy" </w:instrText>
                        </w:r>
                        <w:r w:rsidRPr="009E52FF">
                          <w:rPr>
                            <w:b/>
                            <w:color w:val="FEFEFE"/>
                            <w:sz w:val="20"/>
                            <w:szCs w:val="20"/>
                            <w:lang w:val="en-GB"/>
                            <w14:textFill>
                              <w14:solidFill>
                                <w14:srgbClr w14:val="FEFEFE">
                                  <w14:alpha w14:val="30000"/>
                                </w14:srgbClr>
                              </w14:solidFill>
                            </w14:textFill>
                          </w:rPr>
                          <w:fldChar w:fldCharType="separate"/>
                        </w:r>
                        <w:r w:rsidR="00C40F2C">
                          <w:rPr>
                            <w:b/>
                            <w:noProof/>
                            <w:color w:val="FEFEFE"/>
                            <w:sz w:val="20"/>
                            <w:szCs w:val="20"/>
                            <w:lang w:val="en-GB"/>
                            <w14:textFill>
                              <w14:solidFill>
                                <w14:srgbClr w14:val="FEFEFE">
                                  <w14:alpha w14:val="30000"/>
                                </w14:srgbClr>
                              </w14:solidFill>
                            </w14:textFill>
                          </w:rPr>
                          <w:t>April 2025</w:t>
                        </w:r>
                        <w:r w:rsidRPr="009E52FF">
                          <w:rPr>
                            <w:b/>
                            <w:color w:val="FEFEFE"/>
                            <w:sz w:val="20"/>
                            <w:szCs w:val="20"/>
                            <w:lang w:val="en-GB"/>
                            <w14:textFill>
                              <w14:solidFill>
                                <w14:srgbClr w14:val="FEFEFE">
                                  <w14:alpha w14:val="30000"/>
                                </w14:srgbClr>
                              </w14:solidFill>
                            </w14:textFill>
                          </w:rPr>
                          <w:fldChar w:fldCharType="end"/>
                        </w:r>
                      </w:p>
                      <w:p w14:paraId="16C09003" w14:textId="77777777" w:rsidR="00F75762" w:rsidRPr="009E52FF" w:rsidRDefault="00F75762" w:rsidP="00F84EB3">
                        <w:pPr>
                          <w:rPr>
                            <w:color w:val="FEFEFE"/>
                            <w:sz w:val="20"/>
                            <w:szCs w:val="20"/>
                          </w:rPr>
                        </w:pPr>
                        <w:r w:rsidRPr="009E52FF">
                          <w:rPr>
                            <w:color w:val="FEFEFE"/>
                            <w:sz w:val="20"/>
                            <w:szCs w:val="20"/>
                          </w:rPr>
                          <w:t xml:space="preserve">DNB Research </w:t>
                        </w:r>
                        <w:proofErr w:type="spellStart"/>
                        <w:r w:rsidRPr="009E52FF">
                          <w:rPr>
                            <w:color w:val="FEFEFE"/>
                            <w:sz w:val="20"/>
                            <w:szCs w:val="20"/>
                          </w:rPr>
                          <w:t>Newsletter</w:t>
                        </w:r>
                        <w:proofErr w:type="spellEnd"/>
                      </w:p>
                    </w:tc>
                    <w:tc>
                      <w:tcPr>
                        <w:tcW w:w="2041" w:type="pct"/>
                        <w:shd w:val="clear" w:color="auto" w:fill="1226AA"/>
                        <w:tcMar>
                          <w:top w:w="0" w:type="dxa"/>
                          <w:bottom w:w="0" w:type="dxa"/>
                        </w:tcMar>
                      </w:tcPr>
                      <w:p w14:paraId="74617D3B" w14:textId="77777777" w:rsidR="00F75762" w:rsidRPr="009E52FF" w:rsidRDefault="00F75762" w:rsidP="00F84EB3">
                        <w:pPr>
                          <w:jc w:val="right"/>
                          <w:rPr>
                            <w:color w:val="FEFEFE"/>
                            <w:sz w:val="20"/>
                            <w:szCs w:val="20"/>
                          </w:rPr>
                        </w:pPr>
                        <w:r w:rsidRPr="009E52FF">
                          <w:rPr>
                            <w:noProof/>
                            <w:color w:val="FEFEFE"/>
                            <w:sz w:val="20"/>
                            <w:szCs w:val="20"/>
                            <w:lang w:eastAsia="nl-NL"/>
                          </w:rPr>
                          <w:drawing>
                            <wp:inline distT="0" distB="0" distL="0" distR="0" wp14:anchorId="18C89FB7" wp14:editId="63A3E49A">
                              <wp:extent cx="1136391" cy="708025"/>
                              <wp:effectExtent l="0" t="0" r="698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77298" cy="733512"/>
                                      </a:xfrm>
                                      <a:prstGeom prst="rect">
                                        <a:avLst/>
                                      </a:prstGeom>
                                    </pic:spPr>
                                  </pic:pic>
                                </a:graphicData>
                              </a:graphic>
                            </wp:inline>
                          </w:drawing>
                        </w:r>
                      </w:p>
                    </w:tc>
                  </w:tr>
                </w:tbl>
                <w:p w14:paraId="4C8D8211" w14:textId="77777777" w:rsidR="00F75762" w:rsidRPr="009E52FF" w:rsidRDefault="00F75762" w:rsidP="00F84EB3">
                  <w:pPr>
                    <w:spacing w:line="240" w:lineRule="auto"/>
                    <w:rPr>
                      <w:sz w:val="20"/>
                      <w:szCs w:val="20"/>
                    </w:rPr>
                  </w:pPr>
                </w:p>
              </w:tc>
            </w:tr>
            <w:tr w:rsidR="00F75762" w:rsidRPr="009E52FF" w14:paraId="19BA1985" w14:textId="77777777" w:rsidTr="00F84EB3">
              <w:tc>
                <w:tcPr>
                  <w:tcW w:w="5000" w:type="pct"/>
                  <w:shd w:val="clear" w:color="auto" w:fill="auto"/>
                </w:tcPr>
                <w:tbl>
                  <w:tblPr>
                    <w:tblW w:w="5000" w:type="pct"/>
                    <w:shd w:val="clear" w:color="auto" w:fill="1226AA"/>
                    <w:tblCellMar>
                      <w:left w:w="0" w:type="dxa"/>
                      <w:right w:w="0" w:type="dxa"/>
                    </w:tblCellMar>
                    <w:tblLook w:val="04A0" w:firstRow="1" w:lastRow="0" w:firstColumn="1" w:lastColumn="0" w:noHBand="0" w:noVBand="1"/>
                  </w:tblPr>
                  <w:tblGrid>
                    <w:gridCol w:w="7722"/>
                  </w:tblGrid>
                  <w:tr w:rsidR="00F75762" w:rsidRPr="00C40F2C" w14:paraId="4510C832" w14:textId="77777777" w:rsidTr="00F84EB3">
                    <w:trPr>
                      <w:trHeight w:val="340"/>
                    </w:trPr>
                    <w:tc>
                      <w:tcPr>
                        <w:tcW w:w="5000" w:type="pct"/>
                        <w:shd w:val="clear" w:color="auto" w:fill="1226AA"/>
                        <w:tcMar>
                          <w:top w:w="57" w:type="dxa"/>
                          <w:left w:w="170" w:type="dxa"/>
                          <w:bottom w:w="57" w:type="dxa"/>
                        </w:tcMar>
                      </w:tcPr>
                      <w:p w14:paraId="496BBBCF" w14:textId="77777777" w:rsidR="00F75762" w:rsidRPr="009E52FF" w:rsidRDefault="00F75762" w:rsidP="00F84EB3">
                        <w:pPr>
                          <w:spacing w:line="240" w:lineRule="auto"/>
                          <w:rPr>
                            <w:color w:val="FFFFFF" w:themeColor="background1"/>
                            <w:sz w:val="20"/>
                            <w:szCs w:val="20"/>
                            <w:lang w:val="en-US"/>
                          </w:rPr>
                        </w:pPr>
                        <w:r w:rsidRPr="009E52FF">
                          <w:rPr>
                            <w:color w:val="FEFEFE"/>
                            <w:sz w:val="20"/>
                            <w:szCs w:val="20"/>
                            <w:lang w:val="en-US"/>
                          </w:rPr>
                          <w:t>Research highlights</w:t>
                        </w:r>
                      </w:p>
                    </w:tc>
                  </w:tr>
                </w:tbl>
                <w:p w14:paraId="1434E56D" w14:textId="488E0DF3" w:rsidR="00447DF4" w:rsidRPr="009E52FF" w:rsidRDefault="00447DF4" w:rsidP="00447DF4">
                  <w:pPr>
                    <w:rPr>
                      <w:b/>
                      <w:bCs/>
                      <w:color w:val="1226AA"/>
                      <w:sz w:val="20"/>
                      <w:szCs w:val="20"/>
                      <w:lang w:val="en-US"/>
                    </w:rPr>
                  </w:pPr>
                  <w:bookmarkStart w:id="2" w:name="R0top"/>
                  <w:bookmarkStart w:id="3" w:name="R1top"/>
                  <w:r>
                    <w:rPr>
                      <w:b/>
                      <w:bCs/>
                      <w:color w:val="1226AA"/>
                      <w:sz w:val="20"/>
                      <w:szCs w:val="20"/>
                      <w:lang w:val="en-US"/>
                    </w:rPr>
                    <w:t>1</w:t>
                  </w:r>
                  <w:r w:rsidRPr="009E52FF">
                    <w:rPr>
                      <w:b/>
                      <w:bCs/>
                      <w:color w:val="1226AA"/>
                      <w:sz w:val="20"/>
                      <w:szCs w:val="20"/>
                      <w:lang w:val="en-US"/>
                    </w:rPr>
                    <w:t xml:space="preserve">. </w:t>
                  </w:r>
                  <w:r w:rsidR="002F7045" w:rsidRPr="002F7045">
                    <w:rPr>
                      <w:b/>
                      <w:bCs/>
                      <w:color w:val="1226AA"/>
                      <w:sz w:val="20"/>
                      <w:szCs w:val="20"/>
                      <w:lang w:val="en-US"/>
                    </w:rPr>
                    <w:t xml:space="preserve">Optimal </w:t>
                  </w:r>
                  <w:r w:rsidR="003D29D8">
                    <w:rPr>
                      <w:b/>
                      <w:bCs/>
                      <w:color w:val="1226AA"/>
                      <w:sz w:val="20"/>
                      <w:szCs w:val="20"/>
                      <w:lang w:val="en-US"/>
                    </w:rPr>
                    <w:t>n</w:t>
                  </w:r>
                  <w:r w:rsidR="002F7045" w:rsidRPr="002F7045">
                    <w:rPr>
                      <w:b/>
                      <w:bCs/>
                      <w:color w:val="1226AA"/>
                      <w:sz w:val="20"/>
                      <w:szCs w:val="20"/>
                      <w:lang w:val="en-US"/>
                    </w:rPr>
                    <w:t xml:space="preserve">ormalization </w:t>
                  </w:r>
                  <w:r w:rsidR="003D29D8">
                    <w:rPr>
                      <w:b/>
                      <w:bCs/>
                      <w:color w:val="1226AA"/>
                      <w:sz w:val="20"/>
                      <w:szCs w:val="20"/>
                      <w:lang w:val="en-US"/>
                    </w:rPr>
                    <w:t>p</w:t>
                  </w:r>
                  <w:r w:rsidR="002F7045" w:rsidRPr="002F7045">
                    <w:rPr>
                      <w:b/>
                      <w:bCs/>
                      <w:color w:val="1226AA"/>
                      <w:sz w:val="20"/>
                      <w:szCs w:val="20"/>
                      <w:lang w:val="en-US"/>
                    </w:rPr>
                    <w:t>olicy under behavioral expectations</w:t>
                  </w:r>
                </w:p>
                <w:bookmarkEnd w:id="2"/>
                <w:bookmarkEnd w:id="3"/>
                <w:p w14:paraId="34CF6A7C" w14:textId="62EA655D" w:rsidR="00447DF4" w:rsidRPr="00A720B3" w:rsidRDefault="002F7045" w:rsidP="000F5017">
                  <w:pPr>
                    <w:jc w:val="both"/>
                    <w:rPr>
                      <w:rStyle w:val="Hyperlink"/>
                      <w:b/>
                      <w:bCs/>
                      <w:sz w:val="20"/>
                      <w:szCs w:val="20"/>
                      <w:lang w:val="en-US"/>
                    </w:rPr>
                  </w:pPr>
                  <w:r w:rsidRPr="002F7045">
                    <w:rPr>
                      <w:color w:val="1226AA"/>
                      <w:sz w:val="20"/>
                      <w:szCs w:val="20"/>
                      <w:lang w:val="en-US"/>
                    </w:rPr>
                    <w:t>In a</w:t>
                  </w:r>
                  <w:r w:rsidR="00815CD5">
                    <w:rPr>
                      <w:color w:val="1226AA"/>
                      <w:sz w:val="20"/>
                      <w:szCs w:val="20"/>
                      <w:lang w:val="en-US"/>
                    </w:rPr>
                    <w:t xml:space="preserve">n article forthcoming in </w:t>
                  </w:r>
                  <w:r w:rsidRPr="002F7045">
                    <w:rPr>
                      <w:color w:val="1226AA"/>
                      <w:sz w:val="20"/>
                      <w:szCs w:val="20"/>
                      <w:lang w:val="en-US"/>
                    </w:rPr>
                    <w:t xml:space="preserve">the Journal of Monetary Economics, Kostas Mavromatis and Alexandre Carrier deal with the design of optimal normalization policy </w:t>
                  </w:r>
                  <w:r w:rsidR="006E56DB">
                    <w:rPr>
                      <w:color w:val="1226AA"/>
                      <w:sz w:val="20"/>
                      <w:szCs w:val="20"/>
                      <w:lang w:val="en-US"/>
                    </w:rPr>
                    <w:t>within</w:t>
                  </w:r>
                  <w:r w:rsidRPr="002F7045">
                    <w:rPr>
                      <w:color w:val="1226AA"/>
                      <w:sz w:val="20"/>
                      <w:szCs w:val="20"/>
                      <w:lang w:val="en-US"/>
                    </w:rPr>
                    <w:t xml:space="preserve"> a framework </w:t>
                  </w:r>
                  <w:r w:rsidR="003E36F6">
                    <w:rPr>
                      <w:color w:val="1226AA"/>
                      <w:sz w:val="20"/>
                      <w:szCs w:val="20"/>
                      <w:lang w:val="en-US"/>
                    </w:rPr>
                    <w:t>where</w:t>
                  </w:r>
                  <w:r w:rsidRPr="002F7045">
                    <w:rPr>
                      <w:color w:val="1226AA"/>
                      <w:sz w:val="20"/>
                      <w:szCs w:val="20"/>
                      <w:lang w:val="en-US"/>
                    </w:rPr>
                    <w:t xml:space="preserve"> agents' expectations can deviate from the rational expectations benchmark and the central bank faces cost-push shocks.</w:t>
                  </w:r>
                  <w:r w:rsidR="008F5AB0">
                    <w:rPr>
                      <w:color w:val="1226AA"/>
                      <w:sz w:val="20"/>
                      <w:szCs w:val="20"/>
                      <w:lang w:val="en-US"/>
                    </w:rPr>
                    <w:t xml:space="preserve"> </w:t>
                  </w:r>
                  <w:r w:rsidR="00F25BA9">
                    <w:rPr>
                      <w:color w:val="1226AA"/>
                      <w:sz w:val="20"/>
                      <w:szCs w:val="20"/>
                      <w:lang w:val="en-US"/>
                    </w:rPr>
                    <w:t>When</w:t>
                  </w:r>
                  <w:r w:rsidR="008F5AB0">
                    <w:rPr>
                      <w:color w:val="1226AA"/>
                      <w:sz w:val="20"/>
                      <w:szCs w:val="20"/>
                      <w:lang w:val="en-US"/>
                    </w:rPr>
                    <w:t xml:space="preserve"> </w:t>
                  </w:r>
                  <w:r w:rsidR="008F5AB0" w:rsidRPr="005355F9">
                    <w:rPr>
                      <w:color w:val="1226AA"/>
                      <w:sz w:val="20"/>
                      <w:szCs w:val="20"/>
                      <w:lang w:val="en-US"/>
                    </w:rPr>
                    <w:t>interest rate fluctuations</w:t>
                  </w:r>
                  <w:r w:rsidR="00F25BA9">
                    <w:rPr>
                      <w:color w:val="1226AA"/>
                      <w:sz w:val="20"/>
                      <w:szCs w:val="20"/>
                      <w:lang w:val="en-US"/>
                    </w:rPr>
                    <w:t xml:space="preserve"> are costless</w:t>
                  </w:r>
                  <w:r w:rsidR="008F5AB0" w:rsidRPr="005355F9">
                    <w:rPr>
                      <w:color w:val="1226AA"/>
                      <w:sz w:val="20"/>
                      <w:szCs w:val="20"/>
                      <w:lang w:val="en-US"/>
                    </w:rPr>
                    <w:t>,</w:t>
                  </w:r>
                  <w:r w:rsidR="00120A0B">
                    <w:rPr>
                      <w:color w:val="1226AA"/>
                      <w:sz w:val="20"/>
                      <w:szCs w:val="20"/>
                      <w:lang w:val="en-US"/>
                    </w:rPr>
                    <w:t xml:space="preserve"> </w:t>
                  </w:r>
                  <w:r w:rsidR="008F5AB0" w:rsidRPr="005355F9">
                    <w:rPr>
                      <w:color w:val="1226AA"/>
                      <w:sz w:val="20"/>
                      <w:szCs w:val="20"/>
                      <w:lang w:val="en-US"/>
                    </w:rPr>
                    <w:t xml:space="preserve">the interest rate </w:t>
                  </w:r>
                  <w:r w:rsidR="0051199F">
                    <w:rPr>
                      <w:color w:val="1226AA"/>
                      <w:sz w:val="20"/>
                      <w:szCs w:val="20"/>
                      <w:lang w:val="en-US"/>
                    </w:rPr>
                    <w:t>serves</w:t>
                  </w:r>
                  <w:r w:rsidR="008F5AB0" w:rsidRPr="005355F9">
                    <w:rPr>
                      <w:color w:val="1226AA"/>
                      <w:sz w:val="20"/>
                      <w:szCs w:val="20"/>
                      <w:lang w:val="en-US"/>
                    </w:rPr>
                    <w:t xml:space="preserve"> </w:t>
                  </w:r>
                  <w:r w:rsidR="0051199F">
                    <w:rPr>
                      <w:color w:val="1226AA"/>
                      <w:sz w:val="20"/>
                      <w:szCs w:val="20"/>
                      <w:lang w:val="en-US"/>
                    </w:rPr>
                    <w:t xml:space="preserve">as </w:t>
                  </w:r>
                  <w:r w:rsidR="008F5AB0" w:rsidRPr="005355F9">
                    <w:rPr>
                      <w:color w:val="1226AA"/>
                      <w:sz w:val="20"/>
                      <w:szCs w:val="20"/>
                      <w:lang w:val="en-US"/>
                    </w:rPr>
                    <w:t>the primary tool for managing inflationary pressures.</w:t>
                  </w:r>
                  <w:r w:rsidR="001E565B">
                    <w:rPr>
                      <w:color w:val="1226AA"/>
                      <w:sz w:val="20"/>
                      <w:szCs w:val="20"/>
                      <w:lang w:val="en-US"/>
                    </w:rPr>
                    <w:t xml:space="preserve"> </w:t>
                  </w:r>
                  <w:r w:rsidR="0051199F">
                    <w:rPr>
                      <w:color w:val="1226AA"/>
                      <w:sz w:val="20"/>
                      <w:szCs w:val="20"/>
                      <w:lang w:val="en-US"/>
                    </w:rPr>
                    <w:t>However, u</w:t>
                  </w:r>
                  <w:r w:rsidR="008F5AB0" w:rsidRPr="005355F9">
                    <w:rPr>
                      <w:color w:val="1226AA"/>
                      <w:sz w:val="20"/>
                      <w:szCs w:val="20"/>
                      <w:lang w:val="en-US"/>
                    </w:rPr>
                    <w:t>nder de-anchored expectations</w:t>
                  </w:r>
                  <w:r w:rsidR="000A5FF0">
                    <w:rPr>
                      <w:color w:val="1226AA"/>
                      <w:sz w:val="20"/>
                      <w:szCs w:val="20"/>
                      <w:lang w:val="en-US"/>
                    </w:rPr>
                    <w:t xml:space="preserve">, </w:t>
                  </w:r>
                  <w:r w:rsidR="008F5AB0" w:rsidRPr="005355F9">
                    <w:rPr>
                      <w:color w:val="1226AA"/>
                      <w:sz w:val="20"/>
                      <w:szCs w:val="20"/>
                      <w:lang w:val="en-US"/>
                    </w:rPr>
                    <w:t xml:space="preserve">balance sheet management </w:t>
                  </w:r>
                  <w:r w:rsidR="004A323F">
                    <w:rPr>
                      <w:color w:val="1226AA"/>
                      <w:sz w:val="20"/>
                      <w:szCs w:val="20"/>
                      <w:lang w:val="en-US"/>
                    </w:rPr>
                    <w:t xml:space="preserve">becomes increasingly </w:t>
                  </w:r>
                  <w:r w:rsidR="00D57A83">
                    <w:rPr>
                      <w:color w:val="1226AA"/>
                      <w:sz w:val="20"/>
                      <w:szCs w:val="20"/>
                      <w:lang w:val="en-US"/>
                    </w:rPr>
                    <w:t xml:space="preserve">important </w:t>
                  </w:r>
                  <w:r w:rsidR="000A5FF0" w:rsidRPr="005355F9">
                    <w:rPr>
                      <w:color w:val="1226AA"/>
                      <w:sz w:val="20"/>
                      <w:szCs w:val="20"/>
                      <w:lang w:val="en-US"/>
                    </w:rPr>
                    <w:t xml:space="preserve">when interest rate fluctuations </w:t>
                  </w:r>
                  <w:r w:rsidR="00D57A83">
                    <w:rPr>
                      <w:color w:val="1226AA"/>
                      <w:sz w:val="20"/>
                      <w:szCs w:val="20"/>
                      <w:lang w:val="en-US"/>
                    </w:rPr>
                    <w:t xml:space="preserve">incur </w:t>
                  </w:r>
                  <w:r w:rsidR="000A5FF0">
                    <w:rPr>
                      <w:color w:val="1226AA"/>
                      <w:sz w:val="20"/>
                      <w:szCs w:val="20"/>
                      <w:lang w:val="en-US"/>
                    </w:rPr>
                    <w:t>cost</w:t>
                  </w:r>
                  <w:r w:rsidR="00D57A83">
                    <w:rPr>
                      <w:color w:val="1226AA"/>
                      <w:sz w:val="20"/>
                      <w:szCs w:val="20"/>
                      <w:lang w:val="en-US"/>
                    </w:rPr>
                    <w:t>s</w:t>
                  </w:r>
                  <w:r w:rsidR="008F5AB0" w:rsidRPr="005355F9">
                    <w:rPr>
                      <w:color w:val="1226AA"/>
                      <w:sz w:val="20"/>
                      <w:szCs w:val="20"/>
                      <w:lang w:val="en-US"/>
                    </w:rPr>
                    <w:t>.</w:t>
                  </w:r>
                  <w:r>
                    <w:rPr>
                      <w:color w:val="1226AA"/>
                      <w:sz w:val="20"/>
                      <w:szCs w:val="20"/>
                      <w:lang w:val="en-US"/>
                    </w:rPr>
                    <w:t xml:space="preserve"> </w:t>
                  </w:r>
                  <w:r w:rsidR="00A720B3">
                    <w:rPr>
                      <w:sz w:val="20"/>
                      <w:szCs w:val="20"/>
                      <w:lang w:val="en-US"/>
                    </w:rPr>
                    <w:fldChar w:fldCharType="begin"/>
                  </w:r>
                  <w:r w:rsidR="004F5F7D">
                    <w:rPr>
                      <w:sz w:val="20"/>
                      <w:szCs w:val="20"/>
                      <w:lang w:val="en-US"/>
                    </w:rPr>
                    <w:instrText>HYPERLINK  \l "R1"</w:instrText>
                  </w:r>
                  <w:r w:rsidR="00A720B3">
                    <w:rPr>
                      <w:sz w:val="20"/>
                      <w:szCs w:val="20"/>
                      <w:lang w:val="en-US"/>
                    </w:rPr>
                  </w:r>
                  <w:r w:rsidR="00A720B3">
                    <w:rPr>
                      <w:sz w:val="20"/>
                      <w:szCs w:val="20"/>
                      <w:lang w:val="en-US"/>
                    </w:rPr>
                    <w:fldChar w:fldCharType="separate"/>
                  </w:r>
                  <w:r w:rsidRPr="00A720B3">
                    <w:rPr>
                      <w:rStyle w:val="Hyperlink"/>
                      <w:sz w:val="20"/>
                      <w:szCs w:val="20"/>
                      <w:lang w:val="en-US"/>
                    </w:rPr>
                    <w:t>Read more</w:t>
                  </w:r>
                  <w:r w:rsidRPr="00A720B3">
                    <w:rPr>
                      <w:rStyle w:val="Hyperlink"/>
                      <w:sz w:val="20"/>
                      <w:szCs w:val="20"/>
                      <w:lang w:val="en-US"/>
                    </w:rPr>
                    <w:br/>
                  </w:r>
                </w:p>
                <w:p w14:paraId="0FEF47F1" w14:textId="27B34A47" w:rsidR="00A23AAE" w:rsidRPr="009E52FF" w:rsidRDefault="00A720B3" w:rsidP="00A23AAE">
                  <w:pPr>
                    <w:rPr>
                      <w:b/>
                      <w:bCs/>
                      <w:color w:val="1226AA"/>
                      <w:sz w:val="20"/>
                      <w:szCs w:val="20"/>
                      <w:lang w:val="en-US"/>
                    </w:rPr>
                  </w:pPr>
                  <w:r>
                    <w:rPr>
                      <w:sz w:val="20"/>
                      <w:szCs w:val="20"/>
                      <w:lang w:val="en-US"/>
                    </w:rPr>
                    <w:fldChar w:fldCharType="end"/>
                  </w:r>
                  <w:bookmarkStart w:id="4" w:name="R2top"/>
                  <w:r w:rsidR="00447DF4">
                    <w:rPr>
                      <w:b/>
                      <w:bCs/>
                      <w:color w:val="1226AA"/>
                      <w:sz w:val="20"/>
                      <w:szCs w:val="20"/>
                      <w:lang w:val="en-US"/>
                    </w:rPr>
                    <w:t>2</w:t>
                  </w:r>
                  <w:r w:rsidR="00A23AAE" w:rsidRPr="009E52FF">
                    <w:rPr>
                      <w:b/>
                      <w:bCs/>
                      <w:color w:val="1226AA"/>
                      <w:sz w:val="20"/>
                      <w:szCs w:val="20"/>
                      <w:lang w:val="en-US"/>
                    </w:rPr>
                    <w:t xml:space="preserve">. </w:t>
                  </w:r>
                  <w:r w:rsidR="00580DCC" w:rsidRPr="009E52FF">
                    <w:rPr>
                      <w:b/>
                      <w:bCs/>
                      <w:color w:val="1226AA"/>
                      <w:sz w:val="20"/>
                      <w:szCs w:val="20"/>
                      <w:lang w:val="en-US"/>
                    </w:rPr>
                    <w:t>Deposit market concentration and monetary transmission: Evidence from the euro area</w:t>
                  </w:r>
                </w:p>
                <w:bookmarkEnd w:id="4"/>
                <w:p w14:paraId="69A7A0D2" w14:textId="1D31824C" w:rsidR="00AD03CB" w:rsidRPr="00A720B3" w:rsidRDefault="00580DCC" w:rsidP="00AD03CB">
                  <w:pPr>
                    <w:jc w:val="both"/>
                    <w:rPr>
                      <w:rStyle w:val="Hyperlink"/>
                      <w:sz w:val="20"/>
                      <w:szCs w:val="20"/>
                      <w:lang w:val="en-US"/>
                    </w:rPr>
                  </w:pPr>
                  <w:r w:rsidRPr="009E52FF">
                    <w:rPr>
                      <w:color w:val="1226AA"/>
                      <w:sz w:val="20"/>
                      <w:szCs w:val="20"/>
                      <w:lang w:val="en-US"/>
                    </w:rPr>
                    <w:t>In a recently published article in the European Economic Review, Stephen Kho studies the transmission of monetary policy to deposit rates in the euro area</w:t>
                  </w:r>
                  <w:r w:rsidR="00486867">
                    <w:rPr>
                      <w:color w:val="1226AA"/>
                      <w:sz w:val="20"/>
                      <w:szCs w:val="20"/>
                      <w:lang w:val="en-US"/>
                    </w:rPr>
                    <w:t xml:space="preserve">, </w:t>
                  </w:r>
                  <w:r w:rsidRPr="009E52FF">
                    <w:rPr>
                      <w:color w:val="1226AA"/>
                      <w:sz w:val="20"/>
                      <w:szCs w:val="20"/>
                      <w:lang w:val="en-US"/>
                    </w:rPr>
                    <w:t>focus</w:t>
                  </w:r>
                  <w:r w:rsidR="00486867">
                    <w:rPr>
                      <w:color w:val="1226AA"/>
                      <w:sz w:val="20"/>
                      <w:szCs w:val="20"/>
                      <w:lang w:val="en-US"/>
                    </w:rPr>
                    <w:t>ing</w:t>
                  </w:r>
                  <w:r w:rsidRPr="009E52FF">
                    <w:rPr>
                      <w:color w:val="1226AA"/>
                      <w:sz w:val="20"/>
                      <w:szCs w:val="20"/>
                      <w:lang w:val="en-US"/>
                    </w:rPr>
                    <w:t xml:space="preserve"> on asymmetries and banking sector concentration</w:t>
                  </w:r>
                  <w:r w:rsidR="00C961DF">
                    <w:rPr>
                      <w:color w:val="1226AA"/>
                      <w:sz w:val="20"/>
                      <w:szCs w:val="20"/>
                      <w:lang w:val="en-US"/>
                    </w:rPr>
                    <w:t xml:space="preserve">. </w:t>
                  </w:r>
                  <w:r w:rsidR="005D5087">
                    <w:rPr>
                      <w:color w:val="1226AA"/>
                      <w:sz w:val="20"/>
                      <w:szCs w:val="20"/>
                      <w:lang w:val="en-US"/>
                    </w:rPr>
                    <w:t>The empirical</w:t>
                  </w:r>
                  <w:r w:rsidR="00DB127D">
                    <w:rPr>
                      <w:color w:val="1226AA"/>
                      <w:sz w:val="20"/>
                      <w:szCs w:val="20"/>
                      <w:lang w:val="en-US"/>
                    </w:rPr>
                    <w:t xml:space="preserve"> analysis </w:t>
                  </w:r>
                  <w:r w:rsidR="00C867A0">
                    <w:rPr>
                      <w:color w:val="1226AA"/>
                      <w:sz w:val="20"/>
                      <w:szCs w:val="20"/>
                      <w:lang w:val="en-US"/>
                    </w:rPr>
                    <w:t>reveals</w:t>
                  </w:r>
                  <w:r w:rsidR="00DB127D">
                    <w:rPr>
                      <w:color w:val="1226AA"/>
                      <w:sz w:val="20"/>
                      <w:szCs w:val="20"/>
                      <w:lang w:val="en-US"/>
                    </w:rPr>
                    <w:t xml:space="preserve"> </w:t>
                  </w:r>
                  <w:r w:rsidR="005D5087">
                    <w:rPr>
                      <w:color w:val="1226AA"/>
                      <w:sz w:val="20"/>
                      <w:szCs w:val="20"/>
                      <w:lang w:val="en-US"/>
                    </w:rPr>
                    <w:t>that mo</w:t>
                  </w:r>
                  <w:r w:rsidRPr="009E52FF">
                    <w:rPr>
                      <w:color w:val="1226AA"/>
                      <w:sz w:val="20"/>
                      <w:szCs w:val="20"/>
                      <w:lang w:val="en-US"/>
                    </w:rPr>
                    <w:t>re concentrated domestic banking sectors pass-on unexpected monetary tightening more slowly</w:t>
                  </w:r>
                  <w:r w:rsidR="008F51E8">
                    <w:rPr>
                      <w:color w:val="1226AA"/>
                      <w:sz w:val="20"/>
                      <w:szCs w:val="20"/>
                      <w:lang w:val="en-US"/>
                    </w:rPr>
                    <w:t xml:space="preserve"> and easing more </w:t>
                  </w:r>
                  <w:r w:rsidRPr="009E52FF">
                    <w:rPr>
                      <w:color w:val="1226AA"/>
                      <w:sz w:val="20"/>
                      <w:szCs w:val="20"/>
                      <w:lang w:val="en-US"/>
                    </w:rPr>
                    <w:t>quickly than less concentrated sectors</w:t>
                  </w:r>
                  <w:r w:rsidR="008F51E8">
                    <w:rPr>
                      <w:color w:val="1226AA"/>
                      <w:sz w:val="20"/>
                      <w:szCs w:val="20"/>
                      <w:lang w:val="en-US"/>
                    </w:rPr>
                    <w:t xml:space="preserve">. </w:t>
                  </w:r>
                  <w:r w:rsidR="00C16FA1">
                    <w:rPr>
                      <w:color w:val="1226AA"/>
                      <w:sz w:val="20"/>
                      <w:szCs w:val="20"/>
                      <w:lang w:val="en-US"/>
                    </w:rPr>
                    <w:t>This</w:t>
                  </w:r>
                  <w:r w:rsidRPr="009E52FF">
                    <w:rPr>
                      <w:color w:val="1226AA"/>
                      <w:sz w:val="20"/>
                      <w:szCs w:val="20"/>
                      <w:lang w:val="en-US"/>
                    </w:rPr>
                    <w:t xml:space="preserve"> contributes to a temporary divergence </w:t>
                  </w:r>
                  <w:r w:rsidR="00C16FA1">
                    <w:rPr>
                      <w:color w:val="1226AA"/>
                      <w:sz w:val="20"/>
                      <w:szCs w:val="20"/>
                      <w:lang w:val="en-US"/>
                    </w:rPr>
                    <w:t>in</w:t>
                  </w:r>
                  <w:r w:rsidRPr="009E52FF">
                    <w:rPr>
                      <w:color w:val="1226AA"/>
                      <w:sz w:val="20"/>
                      <w:szCs w:val="20"/>
                      <w:lang w:val="en-US"/>
                    </w:rPr>
                    <w:t xml:space="preserve"> deposit rates across the euro area. These </w:t>
                  </w:r>
                  <w:r w:rsidR="00C16FA1">
                    <w:rPr>
                      <w:color w:val="1226AA"/>
                      <w:sz w:val="20"/>
                      <w:szCs w:val="20"/>
                      <w:lang w:val="en-US"/>
                    </w:rPr>
                    <w:t>findings</w:t>
                  </w:r>
                  <w:r w:rsidRPr="009E52FF">
                    <w:rPr>
                      <w:color w:val="1226AA"/>
                      <w:sz w:val="20"/>
                      <w:szCs w:val="20"/>
                      <w:lang w:val="en-US"/>
                    </w:rPr>
                    <w:t xml:space="preserve"> suggest that heterogeneity in the degree of banking sector concentration matters for the transmission of monetary policy to deposit rates, which </w:t>
                  </w:r>
                  <w:r w:rsidR="0073320C">
                    <w:rPr>
                      <w:color w:val="1226AA"/>
                      <w:sz w:val="20"/>
                      <w:szCs w:val="20"/>
                      <w:lang w:val="en-US"/>
                    </w:rPr>
                    <w:t xml:space="preserve">may, </w:t>
                  </w:r>
                  <w:r w:rsidRPr="009E52FF">
                    <w:rPr>
                      <w:color w:val="1226AA"/>
                      <w:sz w:val="20"/>
                      <w:szCs w:val="20"/>
                      <w:lang w:val="en-US"/>
                    </w:rPr>
                    <w:t>in turn</w:t>
                  </w:r>
                  <w:r w:rsidR="0073320C">
                    <w:rPr>
                      <w:color w:val="1226AA"/>
                      <w:sz w:val="20"/>
                      <w:szCs w:val="20"/>
                      <w:lang w:val="en-US"/>
                    </w:rPr>
                    <w:t>,</w:t>
                  </w:r>
                  <w:r w:rsidRPr="009E52FF">
                    <w:rPr>
                      <w:color w:val="1226AA"/>
                      <w:sz w:val="20"/>
                      <w:szCs w:val="20"/>
                      <w:lang w:val="en-US"/>
                    </w:rPr>
                    <w:t xml:space="preserve"> affect banking sector profitability</w:t>
                  </w:r>
                  <w:r w:rsidR="00A720B3">
                    <w:rPr>
                      <w:sz w:val="20"/>
                      <w:szCs w:val="20"/>
                      <w:lang w:val="en-US"/>
                    </w:rPr>
                    <w:fldChar w:fldCharType="begin"/>
                  </w:r>
                  <w:r w:rsidR="00A720B3">
                    <w:rPr>
                      <w:sz w:val="20"/>
                      <w:szCs w:val="20"/>
                      <w:lang w:val="en-US"/>
                    </w:rPr>
                    <w:instrText>HYPERLINK  \l "R2"</w:instrText>
                  </w:r>
                  <w:r w:rsidR="00A720B3">
                    <w:rPr>
                      <w:sz w:val="20"/>
                      <w:szCs w:val="20"/>
                      <w:lang w:val="en-US"/>
                    </w:rPr>
                  </w:r>
                  <w:r w:rsidR="00A720B3">
                    <w:rPr>
                      <w:sz w:val="20"/>
                      <w:szCs w:val="20"/>
                      <w:lang w:val="en-US"/>
                    </w:rPr>
                    <w:fldChar w:fldCharType="separate"/>
                  </w:r>
                  <w:r w:rsidR="00EE5CB4" w:rsidRPr="00A720B3">
                    <w:rPr>
                      <w:rStyle w:val="Hyperlink"/>
                      <w:sz w:val="20"/>
                      <w:szCs w:val="20"/>
                      <w:lang w:val="en-US"/>
                    </w:rPr>
                    <w:t xml:space="preserve">. </w:t>
                  </w:r>
                  <w:r w:rsidR="00AD03CB" w:rsidRPr="00A720B3">
                    <w:rPr>
                      <w:rStyle w:val="Hyperlink"/>
                      <w:sz w:val="20"/>
                      <w:szCs w:val="20"/>
                      <w:lang w:val="en-US"/>
                    </w:rPr>
                    <w:t>Read more</w:t>
                  </w:r>
                </w:p>
                <w:p w14:paraId="6399EFC7" w14:textId="26837AD0" w:rsidR="00AD03CB" w:rsidRPr="009E52FF" w:rsidRDefault="00A720B3" w:rsidP="00AD03CB">
                  <w:pPr>
                    <w:jc w:val="both"/>
                    <w:rPr>
                      <w:b/>
                      <w:color w:val="1226AA"/>
                      <w:sz w:val="20"/>
                      <w:szCs w:val="20"/>
                      <w:lang w:val="en-US"/>
                    </w:rPr>
                  </w:pPr>
                  <w:r>
                    <w:rPr>
                      <w:sz w:val="20"/>
                      <w:szCs w:val="20"/>
                      <w:lang w:val="en-US"/>
                    </w:rPr>
                    <w:fldChar w:fldCharType="end"/>
                  </w:r>
                </w:p>
                <w:p w14:paraId="22D17110" w14:textId="3C5B4D48" w:rsidR="00EE5CB4" w:rsidRPr="009E52FF" w:rsidRDefault="00447DF4" w:rsidP="00EE5CB4">
                  <w:pPr>
                    <w:jc w:val="both"/>
                    <w:rPr>
                      <w:b/>
                      <w:color w:val="1226AA"/>
                      <w:sz w:val="20"/>
                      <w:szCs w:val="20"/>
                      <w:lang w:val="en-US"/>
                    </w:rPr>
                  </w:pPr>
                  <w:bookmarkStart w:id="5" w:name="R3"/>
                  <w:r>
                    <w:rPr>
                      <w:b/>
                      <w:color w:val="1226AA"/>
                      <w:sz w:val="20"/>
                      <w:szCs w:val="20"/>
                      <w:lang w:val="en-US"/>
                    </w:rPr>
                    <w:t>3</w:t>
                  </w:r>
                  <w:r w:rsidR="00EE5CB4" w:rsidRPr="009E52FF">
                    <w:rPr>
                      <w:b/>
                      <w:color w:val="1226AA"/>
                      <w:sz w:val="20"/>
                      <w:szCs w:val="20"/>
                      <w:lang w:val="en-US"/>
                    </w:rPr>
                    <w:t xml:space="preserve">. </w:t>
                  </w:r>
                  <w:r w:rsidR="00101573" w:rsidRPr="009E52FF">
                    <w:rPr>
                      <w:b/>
                      <w:bCs/>
                      <w:color w:val="1226AA"/>
                      <w:sz w:val="20"/>
                      <w:szCs w:val="20"/>
                      <w:lang w:val="en-US"/>
                    </w:rPr>
                    <w:t>Long-</w:t>
                  </w:r>
                  <w:r w:rsidR="00DB127D">
                    <w:rPr>
                      <w:b/>
                      <w:bCs/>
                      <w:color w:val="1226AA"/>
                      <w:sz w:val="20"/>
                      <w:szCs w:val="20"/>
                      <w:lang w:val="en-US"/>
                    </w:rPr>
                    <w:t>r</w:t>
                  </w:r>
                  <w:r w:rsidR="00101573" w:rsidRPr="009E52FF">
                    <w:rPr>
                      <w:b/>
                      <w:bCs/>
                      <w:color w:val="1226AA"/>
                      <w:sz w:val="20"/>
                      <w:szCs w:val="20"/>
                      <w:lang w:val="en-US"/>
                    </w:rPr>
                    <w:t xml:space="preserve">un </w:t>
                  </w:r>
                  <w:r w:rsidR="00DB127D">
                    <w:rPr>
                      <w:b/>
                      <w:bCs/>
                      <w:color w:val="1226AA"/>
                      <w:sz w:val="20"/>
                      <w:szCs w:val="20"/>
                      <w:lang w:val="en-US"/>
                    </w:rPr>
                    <w:t>i</w:t>
                  </w:r>
                  <w:r w:rsidR="00101573" w:rsidRPr="009E52FF">
                    <w:rPr>
                      <w:b/>
                      <w:bCs/>
                      <w:color w:val="1226AA"/>
                      <w:sz w:val="20"/>
                      <w:szCs w:val="20"/>
                      <w:lang w:val="en-US"/>
                    </w:rPr>
                    <w:t xml:space="preserve">nflation </w:t>
                  </w:r>
                  <w:r w:rsidR="00DB127D">
                    <w:rPr>
                      <w:b/>
                      <w:bCs/>
                      <w:color w:val="1226AA"/>
                      <w:sz w:val="20"/>
                      <w:szCs w:val="20"/>
                      <w:lang w:val="en-US"/>
                    </w:rPr>
                    <w:t>e</w:t>
                  </w:r>
                  <w:r w:rsidR="00101573" w:rsidRPr="009E52FF">
                    <w:rPr>
                      <w:b/>
                      <w:bCs/>
                      <w:color w:val="1226AA"/>
                      <w:sz w:val="20"/>
                      <w:szCs w:val="20"/>
                      <w:lang w:val="en-US"/>
                    </w:rPr>
                    <w:t>xpectations</w:t>
                  </w:r>
                </w:p>
                <w:bookmarkEnd w:id="5"/>
                <w:p w14:paraId="57EB3EDD" w14:textId="0EF325FB" w:rsidR="00EE5CB4" w:rsidRPr="003C632B" w:rsidRDefault="00101573" w:rsidP="00253C36">
                  <w:pPr>
                    <w:jc w:val="both"/>
                    <w:rPr>
                      <w:rStyle w:val="Hyperlink"/>
                      <w:b/>
                      <w:bCs/>
                      <w:sz w:val="20"/>
                      <w:szCs w:val="20"/>
                      <w:lang w:val="en-US"/>
                    </w:rPr>
                  </w:pPr>
                  <w:r w:rsidRPr="009E52FF">
                    <w:rPr>
                      <w:color w:val="1226AA"/>
                      <w:sz w:val="20"/>
                      <w:szCs w:val="20"/>
                      <w:lang w:val="en-US"/>
                    </w:rPr>
                    <w:t>Understanding how long-run inflation expectations are formed is crucial for both monetary policy theory and practice. In a recent DNB working paper, Sebastian Rast and his co-authors develop a flexible</w:t>
                  </w:r>
                  <w:r w:rsidR="00215F35">
                    <w:rPr>
                      <w:color w:val="1226AA"/>
                      <w:sz w:val="20"/>
                      <w:szCs w:val="20"/>
                      <w:lang w:val="en-US"/>
                    </w:rPr>
                    <w:t xml:space="preserve"> empirical </w:t>
                  </w:r>
                  <w:r w:rsidRPr="009E52FF">
                    <w:rPr>
                      <w:color w:val="1226AA"/>
                      <w:sz w:val="20"/>
                      <w:szCs w:val="20"/>
                      <w:lang w:val="en-US"/>
                    </w:rPr>
                    <w:t>framework to analyze how U.S. professional forecasters form long-run inflation expectations.</w:t>
                  </w:r>
                  <w:r w:rsidR="00215F35">
                    <w:rPr>
                      <w:color w:val="1226AA"/>
                      <w:sz w:val="20"/>
                      <w:szCs w:val="20"/>
                      <w:lang w:val="en-US"/>
                    </w:rPr>
                    <w:t xml:space="preserve"> </w:t>
                  </w:r>
                  <w:r w:rsidR="00215F35" w:rsidRPr="009E52FF">
                    <w:rPr>
                      <w:color w:val="1226AA"/>
                      <w:sz w:val="20"/>
                      <w:szCs w:val="20"/>
                      <w:lang w:val="en-US"/>
                    </w:rPr>
                    <w:t>The</w:t>
                  </w:r>
                  <w:r w:rsidR="00215F35">
                    <w:rPr>
                      <w:color w:val="1226AA"/>
                      <w:sz w:val="20"/>
                      <w:szCs w:val="20"/>
                      <w:lang w:val="en-US"/>
                    </w:rPr>
                    <w:t xml:space="preserve">ir </w:t>
                  </w:r>
                  <w:r w:rsidR="00215F35" w:rsidRPr="009E52FF">
                    <w:rPr>
                      <w:color w:val="1226AA"/>
                      <w:sz w:val="20"/>
                      <w:szCs w:val="20"/>
                      <w:lang w:val="en-US"/>
                    </w:rPr>
                    <w:t xml:space="preserve">findings reveal substantial, time-varying </w:t>
                  </w:r>
                  <w:r w:rsidR="00215F35" w:rsidRPr="009E52FF">
                    <w:rPr>
                      <w:color w:val="1226AA"/>
                      <w:sz w:val="20"/>
                      <w:szCs w:val="20"/>
                      <w:lang w:val="en-US"/>
                    </w:rPr>
                    <w:lastRenderedPageBreak/>
                    <w:t>heterogeneity in forecasters’ responsiveness to public information</w:t>
                  </w:r>
                  <w:r w:rsidR="00E11BE2">
                    <w:rPr>
                      <w:color w:val="1226AA"/>
                      <w:sz w:val="20"/>
                      <w:szCs w:val="20"/>
                      <w:lang w:val="en-US"/>
                    </w:rPr>
                    <w:t>.</w:t>
                  </w:r>
                  <w:r w:rsidR="003C632B">
                    <w:rPr>
                      <w:color w:val="1226AA"/>
                      <w:sz w:val="20"/>
                      <w:szCs w:val="20"/>
                      <w:lang w:val="en-US"/>
                    </w:rPr>
                    <w:fldChar w:fldCharType="begin"/>
                  </w:r>
                  <w:r w:rsidR="003C632B">
                    <w:rPr>
                      <w:color w:val="1226AA"/>
                      <w:sz w:val="20"/>
                      <w:szCs w:val="20"/>
                      <w:lang w:val="en-US"/>
                    </w:rPr>
                    <w:instrText>HYPERLINK  \l "R3top"</w:instrText>
                  </w:r>
                  <w:r w:rsidR="003C632B">
                    <w:rPr>
                      <w:color w:val="1226AA"/>
                      <w:sz w:val="20"/>
                      <w:szCs w:val="20"/>
                      <w:lang w:val="en-US"/>
                    </w:rPr>
                  </w:r>
                  <w:r w:rsidR="003C632B">
                    <w:rPr>
                      <w:color w:val="1226AA"/>
                      <w:sz w:val="20"/>
                      <w:szCs w:val="20"/>
                      <w:lang w:val="en-US"/>
                    </w:rPr>
                    <w:fldChar w:fldCharType="separate"/>
                  </w:r>
                  <w:r w:rsidR="00EE5CB4" w:rsidRPr="003C632B">
                    <w:rPr>
                      <w:rStyle w:val="Hyperlink"/>
                      <w:sz w:val="20"/>
                      <w:szCs w:val="20"/>
                      <w:lang w:val="en-US"/>
                    </w:rPr>
                    <w:t xml:space="preserve"> </w:t>
                  </w:r>
                  <w:r w:rsidR="00F76E7F" w:rsidRPr="003C632B">
                    <w:rPr>
                      <w:rStyle w:val="Hyperlink"/>
                      <w:sz w:val="20"/>
                      <w:szCs w:val="20"/>
                      <w:lang w:val="en-US"/>
                    </w:rPr>
                    <w:t>Read more</w:t>
                  </w:r>
                </w:p>
                <w:p w14:paraId="64EF6090" w14:textId="5CE9337F" w:rsidR="002F7045" w:rsidRDefault="003C632B" w:rsidP="00A23AAE">
                  <w:pPr>
                    <w:rPr>
                      <w:b/>
                      <w:bCs/>
                      <w:color w:val="1226AA"/>
                      <w:sz w:val="20"/>
                      <w:szCs w:val="20"/>
                      <w:lang w:val="en-US"/>
                    </w:rPr>
                  </w:pPr>
                  <w:r>
                    <w:rPr>
                      <w:color w:val="1226AA"/>
                      <w:sz w:val="20"/>
                      <w:szCs w:val="20"/>
                      <w:lang w:val="en-US"/>
                    </w:rPr>
                    <w:fldChar w:fldCharType="end"/>
                  </w:r>
                </w:p>
                <w:p w14:paraId="316F4580" w14:textId="47821869" w:rsidR="00A23AAE" w:rsidRPr="009E52FF" w:rsidRDefault="00447DF4" w:rsidP="00A23AAE">
                  <w:pPr>
                    <w:rPr>
                      <w:color w:val="1226AA"/>
                      <w:sz w:val="20"/>
                      <w:szCs w:val="20"/>
                      <w:lang w:val="en-US"/>
                    </w:rPr>
                  </w:pPr>
                  <w:bookmarkStart w:id="6" w:name="R4top"/>
                  <w:r>
                    <w:rPr>
                      <w:b/>
                      <w:bCs/>
                      <w:color w:val="1226AA"/>
                      <w:sz w:val="20"/>
                      <w:szCs w:val="20"/>
                      <w:lang w:val="en-US"/>
                    </w:rPr>
                    <w:t>4</w:t>
                  </w:r>
                  <w:r w:rsidR="00A23AAE" w:rsidRPr="009E52FF">
                    <w:rPr>
                      <w:b/>
                      <w:bCs/>
                      <w:color w:val="1226AA"/>
                      <w:sz w:val="20"/>
                      <w:szCs w:val="20"/>
                      <w:lang w:val="en-US"/>
                    </w:rPr>
                    <w:t xml:space="preserve">. </w:t>
                  </w:r>
                  <w:r w:rsidR="003A5892" w:rsidRPr="009E52FF">
                    <w:rPr>
                      <w:b/>
                      <w:bCs/>
                      <w:color w:val="1226AA"/>
                      <w:sz w:val="20"/>
                      <w:szCs w:val="20"/>
                      <w:lang w:val="en-US"/>
                    </w:rPr>
                    <w:t>Inequality along the European green transition</w:t>
                  </w:r>
                </w:p>
                <w:bookmarkEnd w:id="6"/>
                <w:p w14:paraId="14C9FED1" w14:textId="6834D3B4" w:rsidR="00A23AAE" w:rsidRPr="00C40F2C" w:rsidRDefault="003A5892" w:rsidP="000F5017">
                  <w:pPr>
                    <w:jc w:val="both"/>
                    <w:rPr>
                      <w:lang w:val="en-US"/>
                    </w:rPr>
                  </w:pPr>
                  <w:r w:rsidRPr="009E52FF">
                    <w:rPr>
                      <w:color w:val="1226AA"/>
                      <w:sz w:val="20"/>
                      <w:szCs w:val="20"/>
                      <w:lang w:val="en-US"/>
                    </w:rPr>
                    <w:t>In a recent working paper, Guido Ascari, Andrea Colciago, Timo Haber, and Stefan Wöhrmüller study who bears the cost of the EU's green transition to achieve 42.5% green energy consumption by 2030</w:t>
                  </w:r>
                  <w:r w:rsidR="00A23AAE" w:rsidRPr="009E52FF">
                    <w:rPr>
                      <w:color w:val="1226AA"/>
                      <w:sz w:val="20"/>
                      <w:szCs w:val="20"/>
                      <w:lang w:val="en-US"/>
                    </w:rPr>
                    <w:t>.</w:t>
                  </w:r>
                  <w:r w:rsidR="00EF7F28">
                    <w:rPr>
                      <w:color w:val="1226AA"/>
                      <w:sz w:val="20"/>
                      <w:szCs w:val="20"/>
                      <w:lang w:val="en-US"/>
                    </w:rPr>
                    <w:t xml:space="preserve"> </w:t>
                  </w:r>
                  <w:r w:rsidR="00EF7F28" w:rsidRPr="009E52FF">
                    <w:rPr>
                      <w:color w:val="1226AA"/>
                      <w:sz w:val="20"/>
                      <w:szCs w:val="20"/>
                      <w:lang w:val="en-US"/>
                    </w:rPr>
                    <w:t>Using an incomplete markets general equilibrium model, they analyze the distributional consequences of different ways to recycle carbon tax revenues. Their findings reveal that uniform transfers reduce income inequality but increase wealth inequality by weakening precautionary savings.</w:t>
                  </w:r>
                  <w:r w:rsidR="00A23AAE" w:rsidRPr="009E52FF">
                    <w:rPr>
                      <w:color w:val="1226AA"/>
                      <w:sz w:val="20"/>
                      <w:szCs w:val="20"/>
                      <w:lang w:val="en-US"/>
                    </w:rPr>
                    <w:t xml:space="preserve"> </w:t>
                  </w:r>
                  <w:hyperlink w:anchor="R4" w:history="1">
                    <w:r w:rsidR="00B7672E" w:rsidRPr="009E52FF">
                      <w:rPr>
                        <w:rStyle w:val="Hyperlink"/>
                        <w:sz w:val="20"/>
                        <w:szCs w:val="20"/>
                        <w:lang w:val="en-US"/>
                      </w:rPr>
                      <w:t>Read more</w:t>
                    </w:r>
                  </w:hyperlink>
                </w:p>
                <w:p w14:paraId="4CE430F2" w14:textId="77777777" w:rsidR="008C053A" w:rsidRPr="009E52FF" w:rsidRDefault="008C053A" w:rsidP="000F5017">
                  <w:pPr>
                    <w:jc w:val="both"/>
                    <w:rPr>
                      <w:sz w:val="20"/>
                      <w:szCs w:val="20"/>
                      <w:lang w:val="en-US"/>
                    </w:rPr>
                  </w:pPr>
                </w:p>
                <w:p w14:paraId="4389EDAA" w14:textId="553F8D81" w:rsidR="00FC6FF6" w:rsidRPr="009E52FF" w:rsidRDefault="00447DF4" w:rsidP="00FC6FF6">
                  <w:pPr>
                    <w:rPr>
                      <w:color w:val="1226AA"/>
                      <w:sz w:val="20"/>
                      <w:szCs w:val="20"/>
                      <w:lang w:val="en-US"/>
                    </w:rPr>
                  </w:pPr>
                  <w:bookmarkStart w:id="7" w:name="R5top"/>
                  <w:r>
                    <w:rPr>
                      <w:b/>
                      <w:bCs/>
                      <w:color w:val="1226AA"/>
                      <w:sz w:val="20"/>
                      <w:szCs w:val="20"/>
                      <w:lang w:val="en-US"/>
                    </w:rPr>
                    <w:t>5</w:t>
                  </w:r>
                  <w:r w:rsidR="00FC6FF6" w:rsidRPr="009E52FF">
                    <w:rPr>
                      <w:b/>
                      <w:bCs/>
                      <w:color w:val="1226AA"/>
                      <w:sz w:val="20"/>
                      <w:szCs w:val="20"/>
                      <w:lang w:val="en-US"/>
                    </w:rPr>
                    <w:t xml:space="preserve">. </w:t>
                  </w:r>
                  <w:r w:rsidR="003A5892" w:rsidRPr="009E52FF">
                    <w:rPr>
                      <w:b/>
                      <w:bCs/>
                      <w:color w:val="1226AA"/>
                      <w:sz w:val="20"/>
                      <w:szCs w:val="20"/>
                      <w:lang w:val="en-US"/>
                    </w:rPr>
                    <w:t>PhD defense: Interview with Andra Smadu</w:t>
                  </w:r>
                  <w:bookmarkEnd w:id="7"/>
                </w:p>
                <w:p w14:paraId="1D6F6F5F" w14:textId="2FDA5C8A" w:rsidR="00FC6FF6" w:rsidRPr="009E52FF" w:rsidRDefault="003A5892" w:rsidP="00FC6FF6">
                  <w:pPr>
                    <w:jc w:val="both"/>
                    <w:rPr>
                      <w:sz w:val="20"/>
                      <w:szCs w:val="20"/>
                      <w:lang w:val="en-US"/>
                    </w:rPr>
                  </w:pPr>
                  <w:r w:rsidRPr="009E52FF">
                    <w:rPr>
                      <w:color w:val="1226AA"/>
                      <w:sz w:val="20"/>
                      <w:szCs w:val="20"/>
                      <w:lang w:val="en-US"/>
                    </w:rPr>
                    <w:t>On April 7, Andra</w:t>
                  </w:r>
                  <w:r w:rsidR="00F84EB3">
                    <w:rPr>
                      <w:color w:val="1226AA"/>
                      <w:sz w:val="20"/>
                      <w:szCs w:val="20"/>
                      <w:lang w:val="en-US"/>
                    </w:rPr>
                    <w:t xml:space="preserve"> </w:t>
                  </w:r>
                  <w:r w:rsidRPr="009E52FF">
                    <w:rPr>
                      <w:color w:val="1226AA"/>
                      <w:sz w:val="20"/>
                      <w:szCs w:val="20"/>
                      <w:lang w:val="en-US"/>
                    </w:rPr>
                    <w:t>defended her PhD thesis “Uncertainty, large shocks, and economic policy” at the University of Groningen. Andra is currently working at DNB in the Economic Policy and Research division.</w:t>
                  </w:r>
                  <w:r w:rsidR="00FC6FF6" w:rsidRPr="009E52FF">
                    <w:rPr>
                      <w:color w:val="1226AA"/>
                      <w:sz w:val="20"/>
                      <w:szCs w:val="20"/>
                      <w:lang w:val="en-US"/>
                    </w:rPr>
                    <w:t xml:space="preserve"> </w:t>
                  </w:r>
                  <w:hyperlink w:anchor="R5" w:history="1">
                    <w:r w:rsidR="00B7672E" w:rsidRPr="009E52FF">
                      <w:rPr>
                        <w:rStyle w:val="Hyperlink"/>
                        <w:sz w:val="20"/>
                        <w:szCs w:val="20"/>
                        <w:lang w:val="en-US"/>
                      </w:rPr>
                      <w:t>Read more</w:t>
                    </w:r>
                  </w:hyperlink>
                </w:p>
                <w:p w14:paraId="57B3BB46" w14:textId="7E387763" w:rsidR="00F75762" w:rsidRPr="009E52FF" w:rsidRDefault="00F75762" w:rsidP="00F84EB3">
                  <w:pPr>
                    <w:rPr>
                      <w:color w:val="1226AA"/>
                      <w:sz w:val="20"/>
                      <w:szCs w:val="20"/>
                      <w:lang w:val="en-US"/>
                    </w:rPr>
                  </w:pPr>
                </w:p>
                <w:tbl>
                  <w:tblPr>
                    <w:tblW w:w="5000" w:type="pct"/>
                    <w:shd w:val="clear" w:color="auto" w:fill="1226AA"/>
                    <w:tblCellMar>
                      <w:left w:w="0" w:type="dxa"/>
                      <w:right w:w="0" w:type="dxa"/>
                    </w:tblCellMar>
                    <w:tblLook w:val="04A0" w:firstRow="1" w:lastRow="0" w:firstColumn="1" w:lastColumn="0" w:noHBand="0" w:noVBand="1"/>
                  </w:tblPr>
                  <w:tblGrid>
                    <w:gridCol w:w="7722"/>
                  </w:tblGrid>
                  <w:tr w:rsidR="00F75762" w:rsidRPr="00C40F2C" w14:paraId="7FEFC576" w14:textId="77777777" w:rsidTr="00F84EB3">
                    <w:trPr>
                      <w:trHeight w:val="340"/>
                    </w:trPr>
                    <w:tc>
                      <w:tcPr>
                        <w:tcW w:w="5000" w:type="pct"/>
                        <w:shd w:val="clear" w:color="auto" w:fill="1226AA"/>
                        <w:tcMar>
                          <w:top w:w="57" w:type="dxa"/>
                          <w:left w:w="170" w:type="dxa"/>
                          <w:bottom w:w="57" w:type="dxa"/>
                        </w:tcMar>
                      </w:tcPr>
                      <w:p w14:paraId="252462D1" w14:textId="46883B6B" w:rsidR="00F75762" w:rsidRPr="009E52FF" w:rsidRDefault="00F75762" w:rsidP="00F84EB3">
                        <w:pPr>
                          <w:spacing w:line="240" w:lineRule="auto"/>
                          <w:rPr>
                            <w:color w:val="FFFFFF" w:themeColor="background1"/>
                            <w:sz w:val="20"/>
                            <w:szCs w:val="20"/>
                            <w:lang w:val="en-US"/>
                          </w:rPr>
                        </w:pPr>
                        <w:r w:rsidRPr="009E52FF">
                          <w:rPr>
                            <w:color w:val="FEFEFE"/>
                            <w:sz w:val="20"/>
                            <w:szCs w:val="20"/>
                            <w:lang w:val="en-US"/>
                          </w:rPr>
                          <w:t xml:space="preserve">Publications (since </w:t>
                        </w:r>
                        <w:r w:rsidR="00F57A55" w:rsidRPr="009E52FF">
                          <w:rPr>
                            <w:color w:val="FEFEFE"/>
                            <w:sz w:val="20"/>
                            <w:szCs w:val="20"/>
                            <w:lang w:val="en-US"/>
                          </w:rPr>
                          <w:t>February</w:t>
                        </w:r>
                        <w:r w:rsidR="00783887">
                          <w:rPr>
                            <w:color w:val="FEFEFE"/>
                            <w:sz w:val="20"/>
                            <w:szCs w:val="20"/>
                            <w:lang w:val="en-US"/>
                          </w:rPr>
                          <w:t xml:space="preserve"> </w:t>
                        </w:r>
                        <w:r w:rsidRPr="009E52FF">
                          <w:rPr>
                            <w:color w:val="FEFEFE"/>
                            <w:sz w:val="20"/>
                            <w:szCs w:val="20"/>
                            <w:lang w:val="en-US"/>
                          </w:rPr>
                          <w:t>202</w:t>
                        </w:r>
                        <w:r w:rsidR="00F57A55" w:rsidRPr="009E52FF">
                          <w:rPr>
                            <w:color w:val="FEFEFE"/>
                            <w:sz w:val="20"/>
                            <w:szCs w:val="20"/>
                            <w:lang w:val="en-US"/>
                          </w:rPr>
                          <w:t>5</w:t>
                        </w:r>
                        <w:r w:rsidRPr="009E52FF">
                          <w:rPr>
                            <w:color w:val="FEFEFE"/>
                            <w:sz w:val="20"/>
                            <w:szCs w:val="20"/>
                            <w:lang w:val="en-US"/>
                          </w:rPr>
                          <w:t>)</w:t>
                        </w:r>
                      </w:p>
                    </w:tc>
                  </w:tr>
                </w:tbl>
                <w:p w14:paraId="763AE059" w14:textId="77777777" w:rsidR="00F75762" w:rsidRPr="009E52FF" w:rsidRDefault="00F75762" w:rsidP="00F84EB3">
                  <w:pPr>
                    <w:rPr>
                      <w:b/>
                      <w:color w:val="1226AA"/>
                      <w:sz w:val="20"/>
                      <w:szCs w:val="20"/>
                      <w:lang w:val="en-US"/>
                    </w:rPr>
                  </w:pPr>
                  <w:r w:rsidRPr="009E52FF">
                    <w:rPr>
                      <w:b/>
                      <w:color w:val="1226AA"/>
                      <w:sz w:val="20"/>
                      <w:szCs w:val="20"/>
                      <w:lang w:val="en-US"/>
                    </w:rPr>
                    <w:t>Working Papers</w:t>
                  </w:r>
                </w:p>
                <w:p w14:paraId="4BBDB75C" w14:textId="77777777" w:rsidR="00F75762" w:rsidRPr="009E52FF" w:rsidRDefault="00F75762" w:rsidP="00F84EB3">
                  <w:pPr>
                    <w:spacing w:line="240" w:lineRule="auto"/>
                    <w:rPr>
                      <w:b/>
                      <w:color w:val="1226AA"/>
                      <w:sz w:val="20"/>
                      <w:szCs w:val="20"/>
                      <w:lang w:val="en-US"/>
                    </w:rPr>
                  </w:pPr>
                </w:p>
                <w:p w14:paraId="78A8C845" w14:textId="77777777" w:rsidR="008C053A" w:rsidRDefault="00F57A55" w:rsidP="00F57A55">
                  <w:pPr>
                    <w:spacing w:line="240" w:lineRule="auto"/>
                    <w:rPr>
                      <w:sz w:val="20"/>
                      <w:szCs w:val="20"/>
                      <w:lang w:val="en-US"/>
                    </w:rPr>
                  </w:pPr>
                  <w:hyperlink r:id="rId12" w:history="1">
                    <w:r w:rsidRPr="009E52FF">
                      <w:rPr>
                        <w:rStyle w:val="Hyperlink"/>
                        <w:sz w:val="20"/>
                        <w:szCs w:val="20"/>
                        <w:lang w:val="en-US"/>
                      </w:rPr>
                      <w:t>831 - Payment literacy pays off: higher trust and financial inclusion</w:t>
                    </w:r>
                  </w:hyperlink>
                  <w:r w:rsidRPr="009E52FF">
                    <w:rPr>
                      <w:sz w:val="20"/>
                      <w:szCs w:val="20"/>
                      <w:lang w:val="en-US"/>
                    </w:rPr>
                    <w:br/>
                    <w:t>Carin van der Cruijsen, Jakob de Haan</w:t>
                  </w:r>
                </w:p>
                <w:p w14:paraId="49AADA8B" w14:textId="77777777" w:rsidR="008C053A" w:rsidRPr="00C40F2C" w:rsidRDefault="008C053A" w:rsidP="00F57A55">
                  <w:pPr>
                    <w:spacing w:line="240" w:lineRule="auto"/>
                    <w:rPr>
                      <w:lang w:val="en-US"/>
                    </w:rPr>
                  </w:pPr>
                </w:p>
                <w:p w14:paraId="4A189975" w14:textId="77777777" w:rsidR="008C053A" w:rsidRPr="00C40F2C" w:rsidRDefault="00F57A55" w:rsidP="00F57A55">
                  <w:pPr>
                    <w:spacing w:line="240" w:lineRule="auto"/>
                    <w:rPr>
                      <w:lang w:val="en-US"/>
                    </w:rPr>
                  </w:pPr>
                  <w:hyperlink r:id="rId13" w:history="1">
                    <w:r w:rsidRPr="009E52FF">
                      <w:rPr>
                        <w:rStyle w:val="Hyperlink"/>
                        <w:sz w:val="20"/>
                        <w:szCs w:val="20"/>
                        <w:lang w:val="en-US"/>
                      </w:rPr>
                      <w:t>830 - Inequality along the European green transition</w:t>
                    </w:r>
                  </w:hyperlink>
                  <w:r w:rsidRPr="009E52FF">
                    <w:rPr>
                      <w:sz w:val="20"/>
                      <w:szCs w:val="20"/>
                      <w:lang w:val="en-US"/>
                    </w:rPr>
                    <w:br/>
                    <w:t>Guido Ascari, Andrea Colciago, Timo Haber, Stefan Wöhrmüller</w:t>
                  </w:r>
                  <w:r w:rsidRPr="009E52FF">
                    <w:rPr>
                      <w:sz w:val="20"/>
                      <w:szCs w:val="20"/>
                      <w:lang w:val="en-US"/>
                    </w:rPr>
                    <w:br/>
                  </w:r>
                </w:p>
                <w:p w14:paraId="35168C84" w14:textId="15F0988A" w:rsidR="00F57A55" w:rsidRDefault="00F57A55" w:rsidP="00E13096">
                  <w:pPr>
                    <w:spacing w:line="240" w:lineRule="auto"/>
                    <w:rPr>
                      <w:sz w:val="20"/>
                      <w:szCs w:val="20"/>
                      <w:lang w:val="en-US"/>
                    </w:rPr>
                  </w:pPr>
                  <w:hyperlink r:id="rId14" w:history="1">
                    <w:r w:rsidRPr="009E52FF">
                      <w:rPr>
                        <w:rStyle w:val="Hyperlink"/>
                        <w:sz w:val="20"/>
                        <w:szCs w:val="20"/>
                        <w:lang w:val="en-US"/>
                      </w:rPr>
                      <w:t>829 - Long-Run Inflation Expectations</w:t>
                    </w:r>
                  </w:hyperlink>
                  <w:r w:rsidRPr="009E52FF">
                    <w:rPr>
                      <w:sz w:val="20"/>
                      <w:szCs w:val="20"/>
                      <w:lang w:val="en-US"/>
                    </w:rPr>
                    <w:br/>
                    <w:t>Jonas D. M. Fisher, Leonardo Melosi, Sebastian Rast</w:t>
                  </w:r>
                </w:p>
                <w:p w14:paraId="7A7BE2EE" w14:textId="77777777" w:rsidR="00E13096" w:rsidRPr="009E52FF" w:rsidRDefault="00E13096" w:rsidP="00E13096">
                  <w:pPr>
                    <w:spacing w:line="240" w:lineRule="auto"/>
                    <w:rPr>
                      <w:sz w:val="20"/>
                      <w:szCs w:val="20"/>
                      <w:lang w:val="en-US"/>
                    </w:rPr>
                  </w:pPr>
                </w:p>
                <w:p w14:paraId="2D1A37DE" w14:textId="77777777" w:rsidR="009E52FF" w:rsidRDefault="00F57A55" w:rsidP="00E13096">
                  <w:pPr>
                    <w:spacing w:line="240" w:lineRule="auto"/>
                    <w:rPr>
                      <w:sz w:val="20"/>
                      <w:szCs w:val="20"/>
                      <w:lang w:val="en-US"/>
                    </w:rPr>
                  </w:pPr>
                  <w:hyperlink r:id="rId15" w:history="1">
                    <w:r w:rsidRPr="009E52FF">
                      <w:rPr>
                        <w:rStyle w:val="Hyperlink"/>
                        <w:sz w:val="20"/>
                        <w:szCs w:val="20"/>
                        <w:lang w:val="en-US"/>
                      </w:rPr>
                      <w:t>828 - Forecasting Dutch inflation using machine learning methods</w:t>
                    </w:r>
                  </w:hyperlink>
                  <w:r w:rsidRPr="009E52FF">
                    <w:rPr>
                      <w:sz w:val="20"/>
                      <w:szCs w:val="20"/>
                      <w:lang w:val="en-US"/>
                    </w:rPr>
                    <w:br/>
                    <w:t>Robert-Paul Berben, Rajni Rasiawan, Jasper de Winter</w:t>
                  </w:r>
                </w:p>
                <w:p w14:paraId="03037AFA" w14:textId="77777777" w:rsidR="00E13096" w:rsidRDefault="00E13096" w:rsidP="00E13096">
                  <w:pPr>
                    <w:spacing w:line="240" w:lineRule="auto"/>
                    <w:rPr>
                      <w:sz w:val="20"/>
                      <w:szCs w:val="20"/>
                      <w:lang w:val="en-US"/>
                    </w:rPr>
                  </w:pPr>
                </w:p>
                <w:p w14:paraId="6C2B5E53" w14:textId="2CC4079B" w:rsidR="00F57A55" w:rsidRPr="009E52FF" w:rsidRDefault="00F57A55" w:rsidP="008C053A">
                  <w:pPr>
                    <w:spacing w:line="240" w:lineRule="auto"/>
                    <w:rPr>
                      <w:sz w:val="20"/>
                      <w:szCs w:val="20"/>
                      <w:lang w:val="en-US"/>
                    </w:rPr>
                  </w:pPr>
                  <w:hyperlink r:id="rId16" w:history="1">
                    <w:r w:rsidRPr="009E52FF">
                      <w:rPr>
                        <w:rStyle w:val="Hyperlink"/>
                        <w:sz w:val="20"/>
                        <w:szCs w:val="20"/>
                        <w:lang w:val="en-US"/>
                      </w:rPr>
                      <w:t xml:space="preserve">Leverage actually: the impact on banks’ borrowing costs in euro area money markets </w:t>
                    </w:r>
                  </w:hyperlink>
                  <w:r w:rsidRPr="009E52FF">
                    <w:rPr>
                      <w:sz w:val="20"/>
                      <w:szCs w:val="20"/>
                      <w:lang w:val="en-US"/>
                    </w:rPr>
                    <w:t xml:space="preserve"> </w:t>
                  </w:r>
                  <w:r w:rsidRPr="009E52FF">
                    <w:rPr>
                      <w:sz w:val="20"/>
                      <w:szCs w:val="20"/>
                      <w:lang w:val="en-US"/>
                    </w:rPr>
                    <w:br/>
                    <w:t>Desislava Andreeva, Anna Samarina and Lara Sousa Faria</w:t>
                  </w:r>
                  <w:r w:rsidRPr="009E52FF">
                    <w:rPr>
                      <w:sz w:val="20"/>
                      <w:szCs w:val="20"/>
                      <w:lang w:val="en-US"/>
                    </w:rPr>
                    <w:br/>
                    <w:t>ECB Working Paper No. 3016</w:t>
                  </w:r>
                </w:p>
                <w:p w14:paraId="2AA4F42E" w14:textId="77777777" w:rsidR="000224E1" w:rsidRPr="00783887" w:rsidRDefault="000224E1" w:rsidP="00F57A55">
                  <w:pPr>
                    <w:rPr>
                      <w:b/>
                      <w:color w:val="1226AA"/>
                      <w:sz w:val="20"/>
                      <w:szCs w:val="20"/>
                      <w:lang w:val="en-US"/>
                    </w:rPr>
                  </w:pPr>
                </w:p>
                <w:p w14:paraId="319FC923" w14:textId="3E750747" w:rsidR="00F75762" w:rsidRPr="009E52FF" w:rsidRDefault="00F75762" w:rsidP="00F57A55">
                  <w:pPr>
                    <w:rPr>
                      <w:b/>
                      <w:color w:val="1226AA"/>
                      <w:sz w:val="20"/>
                      <w:szCs w:val="20"/>
                    </w:rPr>
                  </w:pPr>
                  <w:r w:rsidRPr="009E52FF">
                    <w:rPr>
                      <w:b/>
                      <w:color w:val="1226AA"/>
                      <w:sz w:val="20"/>
                      <w:szCs w:val="20"/>
                    </w:rPr>
                    <w:t>DNB Analyses</w:t>
                  </w:r>
                </w:p>
                <w:p w14:paraId="57F153C0" w14:textId="77777777" w:rsidR="007334FC" w:rsidRPr="009E52FF" w:rsidRDefault="007334FC" w:rsidP="00F84EB3">
                  <w:pPr>
                    <w:rPr>
                      <w:b/>
                      <w:color w:val="1226AA"/>
                      <w:sz w:val="20"/>
                      <w:szCs w:val="20"/>
                    </w:rPr>
                  </w:pPr>
                </w:p>
                <w:p w14:paraId="47403F43" w14:textId="61E0186C" w:rsidR="00157638" w:rsidRDefault="001F1BC4" w:rsidP="00157638">
                  <w:pPr>
                    <w:spacing w:line="240" w:lineRule="auto"/>
                    <w:rPr>
                      <w:sz w:val="20"/>
                      <w:szCs w:val="20"/>
                    </w:rPr>
                  </w:pPr>
                  <w:hyperlink r:id="rId17" w:history="1">
                    <w:r w:rsidRPr="009E52FF">
                      <w:rPr>
                        <w:rStyle w:val="Hyperlink"/>
                        <w:sz w:val="20"/>
                        <w:szCs w:val="20"/>
                      </w:rPr>
                      <w:t>Heterogeniteit van de effecten van een CO2-belasting op de Nederlandse industrie</w:t>
                    </w:r>
                  </w:hyperlink>
                  <w:r w:rsidRPr="009E52FF">
                    <w:rPr>
                      <w:sz w:val="20"/>
                      <w:szCs w:val="20"/>
                    </w:rPr>
                    <w:br/>
                    <w:t>Laura Lehtonen, Mignon Kroon, Guido Schotten, Bas Heerma van Voss</w:t>
                  </w:r>
                  <w:r w:rsidRPr="009E52FF">
                    <w:rPr>
                      <w:sz w:val="20"/>
                      <w:szCs w:val="20"/>
                    </w:rPr>
                    <w:br/>
                  </w:r>
                  <w:r w:rsidRPr="009E52FF">
                    <w:rPr>
                      <w:sz w:val="20"/>
                      <w:szCs w:val="20"/>
                    </w:rPr>
                    <w:br/>
                  </w:r>
                  <w:hyperlink r:id="rId18" w:history="1">
                    <w:r w:rsidRPr="009E52FF">
                      <w:rPr>
                        <w:rStyle w:val="Hyperlink"/>
                        <w:sz w:val="20"/>
                        <w:szCs w:val="20"/>
                      </w:rPr>
                      <w:t>Het effect van begrotingsbeleid op inflatie</w:t>
                    </w:r>
                  </w:hyperlink>
                  <w:r w:rsidRPr="009E52FF">
                    <w:rPr>
                      <w:sz w:val="20"/>
                      <w:szCs w:val="20"/>
                    </w:rPr>
                    <w:br/>
                    <w:t>Guus Brouwer, Daan de Leeuw, Robert-Paul Berben</w:t>
                  </w:r>
                </w:p>
                <w:p w14:paraId="66ACA291" w14:textId="77777777" w:rsidR="00E146A8" w:rsidRPr="009E52FF" w:rsidRDefault="00E146A8" w:rsidP="00157638">
                  <w:pPr>
                    <w:spacing w:line="240" w:lineRule="auto"/>
                    <w:rPr>
                      <w:rFonts w:eastAsia="Calibri" w:cs="Times New Roman"/>
                      <w:sz w:val="20"/>
                      <w:szCs w:val="20"/>
                    </w:rPr>
                  </w:pPr>
                </w:p>
                <w:p w14:paraId="255455AA" w14:textId="77777777" w:rsidR="00F75762" w:rsidRDefault="00F75762" w:rsidP="00F84EB3">
                  <w:pPr>
                    <w:rPr>
                      <w:b/>
                      <w:color w:val="1226AA"/>
                      <w:sz w:val="20"/>
                      <w:szCs w:val="20"/>
                      <w:lang w:val="en-US"/>
                    </w:rPr>
                  </w:pPr>
                  <w:r w:rsidRPr="009E52FF">
                    <w:rPr>
                      <w:b/>
                      <w:color w:val="1226AA"/>
                      <w:sz w:val="20"/>
                      <w:szCs w:val="20"/>
                      <w:lang w:val="en-US"/>
                    </w:rPr>
                    <w:t>Published journal articles</w:t>
                  </w:r>
                </w:p>
                <w:p w14:paraId="09575DE9" w14:textId="77777777" w:rsidR="00E146A8" w:rsidRPr="009E52FF" w:rsidRDefault="00E146A8" w:rsidP="00F84EB3">
                  <w:pPr>
                    <w:rPr>
                      <w:color w:val="1226AA"/>
                      <w:sz w:val="20"/>
                      <w:szCs w:val="20"/>
                      <w:lang w:val="en-US"/>
                    </w:rPr>
                  </w:pPr>
                </w:p>
                <w:p w14:paraId="4085B502" w14:textId="77777777" w:rsidR="008C053A" w:rsidRPr="00C40F2C" w:rsidRDefault="001F1BC4" w:rsidP="001F1BC4">
                  <w:pPr>
                    <w:spacing w:line="240" w:lineRule="auto"/>
                    <w:rPr>
                      <w:lang w:val="en-US"/>
                    </w:rPr>
                  </w:pPr>
                  <w:hyperlink r:id="rId19" w:history="1">
                    <w:r w:rsidRPr="009E52FF">
                      <w:rPr>
                        <w:rStyle w:val="Hyperlink"/>
                        <w:sz w:val="20"/>
                        <w:szCs w:val="20"/>
                        <w:lang w:val="en-US"/>
                      </w:rPr>
                      <w:t>Effects of QE on sovereign bond spreads through the safe asset channel</w:t>
                    </w:r>
                  </w:hyperlink>
                  <w:r w:rsidRPr="009E52FF">
                    <w:rPr>
                      <w:sz w:val="20"/>
                      <w:szCs w:val="20"/>
                      <w:lang w:val="en-US"/>
                    </w:rPr>
                    <w:br/>
                    <w:t>Jan Willem van den End</w:t>
                  </w:r>
                  <w:r w:rsidRPr="009E52FF">
                    <w:rPr>
                      <w:sz w:val="20"/>
                      <w:szCs w:val="20"/>
                      <w:lang w:val="en-US"/>
                    </w:rPr>
                    <w:br/>
                    <w:t>International Journal of Finance and Economics</w:t>
                  </w:r>
                  <w:r w:rsidR="00134B60">
                    <w:rPr>
                      <w:sz w:val="20"/>
                      <w:szCs w:val="20"/>
                      <w:lang w:val="en-US"/>
                    </w:rPr>
                    <w:t xml:space="preserve">, </w:t>
                  </w:r>
                  <w:r w:rsidR="00134B60" w:rsidRPr="00134B60">
                    <w:rPr>
                      <w:sz w:val="20"/>
                      <w:szCs w:val="20"/>
                      <w:lang w:val="en-US"/>
                    </w:rPr>
                    <w:t>30(2), 1143–1162</w:t>
                  </w:r>
                  <w:r w:rsidRPr="009E52FF">
                    <w:rPr>
                      <w:sz w:val="20"/>
                      <w:szCs w:val="20"/>
                      <w:lang w:val="en-US"/>
                    </w:rPr>
                    <w:br/>
                  </w:r>
                </w:p>
                <w:p w14:paraId="115FDFF0" w14:textId="5F970AC9" w:rsidR="00913E9C" w:rsidRPr="00447DF4" w:rsidRDefault="001F1BC4" w:rsidP="001F1BC4">
                  <w:pPr>
                    <w:spacing w:line="240" w:lineRule="auto"/>
                    <w:rPr>
                      <w:lang w:val="en-US"/>
                    </w:rPr>
                  </w:pPr>
                  <w:hyperlink r:id="rId20" w:history="1">
                    <w:r w:rsidRPr="009E52FF">
                      <w:rPr>
                        <w:rStyle w:val="Hyperlink"/>
                        <w:sz w:val="20"/>
                        <w:szCs w:val="20"/>
                        <w:lang w:val="en-US"/>
                      </w:rPr>
                      <w:t>The Effects of Fiscal Policy when Planning Horizons are Finite</w:t>
                    </w:r>
                  </w:hyperlink>
                  <w:r w:rsidRPr="009E52FF">
                    <w:rPr>
                      <w:sz w:val="20"/>
                      <w:szCs w:val="20"/>
                      <w:lang w:val="en-US"/>
                    </w:rPr>
                    <w:br/>
                    <w:t>Kostas Mavromatis, Joep Lustenhouwer</w:t>
                  </w:r>
                  <w:r w:rsidRPr="009E52FF">
                    <w:rPr>
                      <w:sz w:val="20"/>
                      <w:szCs w:val="20"/>
                      <w:lang w:val="en-US"/>
                    </w:rPr>
                    <w:br/>
                    <w:t>Journal of Money, Credit and Banking</w:t>
                  </w:r>
                  <w:r w:rsidR="005567D7">
                    <w:rPr>
                      <w:sz w:val="20"/>
                      <w:szCs w:val="20"/>
                      <w:lang w:val="en-US"/>
                    </w:rPr>
                    <w:t xml:space="preserve"> </w:t>
                  </w:r>
                  <w:r w:rsidR="005567D7" w:rsidRPr="005567D7">
                    <w:rPr>
                      <w:sz w:val="20"/>
                      <w:szCs w:val="20"/>
                      <w:lang w:val="en-US"/>
                    </w:rPr>
                    <w:t>57: 549-582</w:t>
                  </w:r>
                  <w:r w:rsidRPr="009E52FF">
                    <w:rPr>
                      <w:sz w:val="20"/>
                      <w:szCs w:val="20"/>
                      <w:lang w:val="en-US"/>
                    </w:rPr>
                    <w:br/>
                  </w:r>
                </w:p>
                <w:p w14:paraId="73F65A34" w14:textId="2FB36CC0" w:rsidR="001F1BC4" w:rsidRPr="009E52FF" w:rsidRDefault="001F1BC4" w:rsidP="001F1BC4">
                  <w:pPr>
                    <w:spacing w:line="240" w:lineRule="auto"/>
                    <w:rPr>
                      <w:sz w:val="20"/>
                      <w:szCs w:val="20"/>
                      <w:lang w:val="en-US"/>
                    </w:rPr>
                  </w:pPr>
                  <w:hyperlink r:id="rId21" w:history="1">
                    <w:r w:rsidRPr="009E52FF">
                      <w:rPr>
                        <w:rStyle w:val="Hyperlink"/>
                        <w:sz w:val="20"/>
                        <w:szCs w:val="20"/>
                        <w:lang w:val="en-US"/>
                      </w:rPr>
                      <w:t>Financial literacy in the DNB Household Survey: Insights from innovative data collection</w:t>
                    </w:r>
                  </w:hyperlink>
                </w:p>
                <w:p w14:paraId="4CEF796C" w14:textId="70661C0D" w:rsidR="001F1BC4" w:rsidRPr="009E52FF" w:rsidRDefault="001F1BC4" w:rsidP="001F1BC4">
                  <w:pPr>
                    <w:spacing w:line="240" w:lineRule="auto"/>
                    <w:rPr>
                      <w:sz w:val="20"/>
                      <w:szCs w:val="20"/>
                    </w:rPr>
                  </w:pPr>
                  <w:r w:rsidRPr="009E52FF">
                    <w:rPr>
                      <w:sz w:val="20"/>
                      <w:szCs w:val="20"/>
                    </w:rPr>
                    <w:t xml:space="preserve">Maarten van Rooij, Rob </w:t>
                  </w:r>
                  <w:proofErr w:type="spellStart"/>
                  <w:r w:rsidRPr="009E52FF">
                    <w:rPr>
                      <w:sz w:val="20"/>
                      <w:szCs w:val="20"/>
                    </w:rPr>
                    <w:t>Alessie</w:t>
                  </w:r>
                  <w:proofErr w:type="spellEnd"/>
                  <w:r w:rsidR="00913E9C">
                    <w:rPr>
                      <w:sz w:val="20"/>
                      <w:szCs w:val="20"/>
                    </w:rPr>
                    <w:t xml:space="preserve">, </w:t>
                  </w:r>
                  <w:r w:rsidRPr="009E52FF">
                    <w:rPr>
                      <w:sz w:val="20"/>
                      <w:szCs w:val="20"/>
                    </w:rPr>
                    <w:t xml:space="preserve">Annamaria </w:t>
                  </w:r>
                  <w:proofErr w:type="spellStart"/>
                  <w:r w:rsidRPr="009E52FF">
                    <w:rPr>
                      <w:sz w:val="20"/>
                      <w:szCs w:val="20"/>
                    </w:rPr>
                    <w:t>Lusardi</w:t>
                  </w:r>
                  <w:proofErr w:type="spellEnd"/>
                </w:p>
                <w:p w14:paraId="6C2278A9" w14:textId="77777777" w:rsidR="008C053A" w:rsidRPr="00C40F2C" w:rsidRDefault="001F1BC4" w:rsidP="001F1BC4">
                  <w:pPr>
                    <w:spacing w:line="240" w:lineRule="auto"/>
                    <w:rPr>
                      <w:lang w:val="en-US"/>
                    </w:rPr>
                  </w:pPr>
                  <w:r w:rsidRPr="009E52FF">
                    <w:rPr>
                      <w:sz w:val="20"/>
                      <w:szCs w:val="20"/>
                      <w:lang w:val="en-US"/>
                    </w:rPr>
                    <w:t>Journal of Financial Literacy and Wellbeing</w:t>
                  </w:r>
                  <w:r w:rsidR="00C00FA4">
                    <w:rPr>
                      <w:sz w:val="20"/>
                      <w:szCs w:val="20"/>
                      <w:lang w:val="en-US"/>
                    </w:rPr>
                    <w:t xml:space="preserve">, </w:t>
                  </w:r>
                  <w:r w:rsidR="00C00FA4" w:rsidRPr="00C00FA4">
                    <w:rPr>
                      <w:sz w:val="20"/>
                      <w:szCs w:val="20"/>
                      <w:lang w:val="en-US"/>
                    </w:rPr>
                    <w:t>2024;2(1):21-37</w:t>
                  </w:r>
                  <w:r w:rsidRPr="009E52FF">
                    <w:rPr>
                      <w:sz w:val="20"/>
                      <w:szCs w:val="20"/>
                      <w:lang w:val="en-US"/>
                    </w:rPr>
                    <w:br/>
                  </w:r>
                </w:p>
                <w:p w14:paraId="1A11F9E1" w14:textId="4E31EB73" w:rsidR="001F1BC4" w:rsidRPr="009E52FF" w:rsidRDefault="001F1BC4" w:rsidP="001F1BC4">
                  <w:pPr>
                    <w:spacing w:line="240" w:lineRule="auto"/>
                    <w:rPr>
                      <w:sz w:val="20"/>
                      <w:szCs w:val="20"/>
                      <w:lang w:val="en-US"/>
                    </w:rPr>
                  </w:pPr>
                  <w:hyperlink r:id="rId22" w:history="1">
                    <w:r w:rsidRPr="009E52FF">
                      <w:rPr>
                        <w:rStyle w:val="Hyperlink"/>
                        <w:sz w:val="20"/>
                        <w:szCs w:val="20"/>
                        <w:lang w:val="en-US"/>
                      </w:rPr>
                      <w:t>Mind the gap: gender differences in household payment tasks</w:t>
                    </w:r>
                  </w:hyperlink>
                </w:p>
                <w:p w14:paraId="3EABF7D1" w14:textId="77777777" w:rsidR="001F1BC4" w:rsidRPr="00C40F2C" w:rsidRDefault="001F1BC4" w:rsidP="001F1BC4">
                  <w:pPr>
                    <w:spacing w:line="240" w:lineRule="auto"/>
                    <w:rPr>
                      <w:sz w:val="20"/>
                      <w:szCs w:val="20"/>
                    </w:rPr>
                  </w:pPr>
                  <w:r w:rsidRPr="00C40F2C">
                    <w:rPr>
                      <w:sz w:val="20"/>
                      <w:szCs w:val="20"/>
                    </w:rPr>
                    <w:t xml:space="preserve">Carin van der Cruijsen, Marie-Claire Broekhoff and Joris </w:t>
                  </w:r>
                  <w:proofErr w:type="spellStart"/>
                  <w:r w:rsidRPr="00C40F2C">
                    <w:rPr>
                      <w:sz w:val="20"/>
                      <w:szCs w:val="20"/>
                    </w:rPr>
                    <w:t>Knoben</w:t>
                  </w:r>
                  <w:proofErr w:type="spellEnd"/>
                </w:p>
                <w:p w14:paraId="1647DDA4" w14:textId="77777777" w:rsidR="008C053A" w:rsidRDefault="001F1BC4" w:rsidP="001F1BC4">
                  <w:pPr>
                    <w:spacing w:line="240" w:lineRule="auto"/>
                  </w:pPr>
                  <w:r w:rsidRPr="00C40F2C">
                    <w:rPr>
                      <w:sz w:val="20"/>
                      <w:szCs w:val="20"/>
                    </w:rPr>
                    <w:t>De Economist</w:t>
                  </w:r>
                  <w:r w:rsidRPr="00C40F2C">
                    <w:rPr>
                      <w:sz w:val="20"/>
                      <w:szCs w:val="20"/>
                    </w:rPr>
                    <w:br/>
                  </w:r>
                </w:p>
                <w:p w14:paraId="664EE6EA" w14:textId="07B71907" w:rsidR="001F1BC4" w:rsidRPr="009E52FF" w:rsidRDefault="001F1BC4" w:rsidP="001F1BC4">
                  <w:pPr>
                    <w:spacing w:line="240" w:lineRule="auto"/>
                    <w:rPr>
                      <w:sz w:val="20"/>
                      <w:szCs w:val="20"/>
                      <w:lang w:val="en-US"/>
                    </w:rPr>
                  </w:pPr>
                  <w:hyperlink r:id="rId23" w:history="1">
                    <w:r w:rsidRPr="009E52FF">
                      <w:rPr>
                        <w:rStyle w:val="Hyperlink"/>
                        <w:sz w:val="20"/>
                        <w:szCs w:val="20"/>
                        <w:lang w:val="en-US"/>
                      </w:rPr>
                      <w:t>Carbon home bias of European investors</w:t>
                    </w:r>
                  </w:hyperlink>
                </w:p>
                <w:p w14:paraId="7BFD7E9D" w14:textId="77777777" w:rsidR="001F1BC4" w:rsidRPr="009E52FF" w:rsidRDefault="001F1BC4" w:rsidP="001F1BC4">
                  <w:pPr>
                    <w:spacing w:line="240" w:lineRule="auto"/>
                    <w:rPr>
                      <w:sz w:val="20"/>
                      <w:szCs w:val="20"/>
                      <w:lang w:val="en-US"/>
                    </w:rPr>
                  </w:pPr>
                  <w:r w:rsidRPr="009E52FF">
                    <w:rPr>
                      <w:sz w:val="20"/>
                      <w:szCs w:val="20"/>
                      <w:lang w:val="en-US"/>
                    </w:rPr>
                    <w:t>Martijn Boermans and Rients Galema</w:t>
                  </w:r>
                </w:p>
                <w:p w14:paraId="4D9FD232" w14:textId="77777777" w:rsidR="008C053A" w:rsidRPr="00C40F2C" w:rsidRDefault="001F1BC4" w:rsidP="001F1BC4">
                  <w:pPr>
                    <w:spacing w:line="240" w:lineRule="auto"/>
                    <w:rPr>
                      <w:lang w:val="en-US"/>
                    </w:rPr>
                  </w:pPr>
                  <w:r w:rsidRPr="009E52FF">
                    <w:rPr>
                      <w:sz w:val="20"/>
                      <w:szCs w:val="20"/>
                      <w:lang w:val="en-US"/>
                    </w:rPr>
                    <w:t>Journal of Corporate Finance 92, 102748</w:t>
                  </w:r>
                  <w:r w:rsidRPr="009E52FF">
                    <w:rPr>
                      <w:sz w:val="20"/>
                      <w:szCs w:val="20"/>
                      <w:lang w:val="en-US"/>
                    </w:rPr>
                    <w:br/>
                  </w:r>
                </w:p>
                <w:p w14:paraId="46EF448C" w14:textId="6F954C5F" w:rsidR="001F1BC4" w:rsidRPr="009E52FF" w:rsidRDefault="001F1BC4" w:rsidP="001F1BC4">
                  <w:pPr>
                    <w:spacing w:line="240" w:lineRule="auto"/>
                    <w:rPr>
                      <w:sz w:val="20"/>
                      <w:szCs w:val="20"/>
                      <w:lang w:val="en-US"/>
                    </w:rPr>
                  </w:pPr>
                  <w:hyperlink r:id="rId24" w:history="1">
                    <w:r w:rsidRPr="009E52FF">
                      <w:rPr>
                        <w:rStyle w:val="Hyperlink"/>
                        <w:sz w:val="20"/>
                        <w:szCs w:val="20"/>
                        <w:lang w:val="en-US"/>
                      </w:rPr>
                      <w:t>Recourse and (strategic) mortgage defaults: Evidence from changes in housing market laws</w:t>
                    </w:r>
                  </w:hyperlink>
                </w:p>
                <w:p w14:paraId="64257DE8" w14:textId="77777777" w:rsidR="001F1BC4" w:rsidRPr="009E52FF" w:rsidRDefault="001F1BC4" w:rsidP="001F1BC4">
                  <w:pPr>
                    <w:spacing w:line="240" w:lineRule="auto"/>
                    <w:rPr>
                      <w:sz w:val="20"/>
                      <w:szCs w:val="20"/>
                      <w:lang w:val="en-US"/>
                    </w:rPr>
                  </w:pPr>
                  <w:r w:rsidRPr="009E52FF">
                    <w:rPr>
                      <w:sz w:val="20"/>
                      <w:szCs w:val="20"/>
                      <w:lang w:val="en-US"/>
                    </w:rPr>
                    <w:t xml:space="preserve">Alin Andries, Anca </w:t>
                  </w:r>
                  <w:proofErr w:type="spellStart"/>
                  <w:r w:rsidRPr="009E52FF">
                    <w:rPr>
                      <w:sz w:val="20"/>
                      <w:szCs w:val="20"/>
                      <w:lang w:val="en-US"/>
                    </w:rPr>
                    <w:t>Copaciu</w:t>
                  </w:r>
                  <w:proofErr w:type="spellEnd"/>
                  <w:r w:rsidRPr="009E52FF">
                    <w:rPr>
                      <w:sz w:val="20"/>
                      <w:szCs w:val="20"/>
                      <w:lang w:val="en-US"/>
                    </w:rPr>
                    <w:t>, Radu Popa and Razvan Vlahu</w:t>
                  </w:r>
                </w:p>
                <w:p w14:paraId="4F812D88" w14:textId="77777777" w:rsidR="008C053A" w:rsidRPr="00C40F2C" w:rsidRDefault="001F1BC4" w:rsidP="001F1BC4">
                  <w:pPr>
                    <w:spacing w:line="240" w:lineRule="auto"/>
                    <w:rPr>
                      <w:lang w:val="en-US"/>
                    </w:rPr>
                  </w:pPr>
                  <w:r w:rsidRPr="009E52FF">
                    <w:rPr>
                      <w:sz w:val="20"/>
                      <w:szCs w:val="20"/>
                      <w:lang w:val="en-US"/>
                    </w:rPr>
                    <w:t>European Economic Review 173, 104953</w:t>
                  </w:r>
                  <w:r w:rsidRPr="009E52FF">
                    <w:rPr>
                      <w:sz w:val="20"/>
                      <w:szCs w:val="20"/>
                      <w:lang w:val="en-US"/>
                    </w:rPr>
                    <w:br/>
                  </w:r>
                </w:p>
                <w:p w14:paraId="0D5C1F53" w14:textId="14EFD313" w:rsidR="001F1BC4" w:rsidRPr="009E52FF" w:rsidRDefault="001F1BC4" w:rsidP="001F1BC4">
                  <w:pPr>
                    <w:spacing w:line="240" w:lineRule="auto"/>
                    <w:rPr>
                      <w:sz w:val="20"/>
                      <w:szCs w:val="20"/>
                      <w:lang w:val="en-US"/>
                    </w:rPr>
                  </w:pPr>
                  <w:hyperlink r:id="rId25" w:history="1">
                    <w:r w:rsidRPr="009E52FF">
                      <w:rPr>
                        <w:rStyle w:val="Hyperlink"/>
                        <w:sz w:val="20"/>
                        <w:szCs w:val="20"/>
                        <w:lang w:val="en-US"/>
                      </w:rPr>
                      <w:t>Data Science for Central Banks and Supervisors: How to Make It Work, Actually</w:t>
                    </w:r>
                  </w:hyperlink>
                </w:p>
                <w:p w14:paraId="222A782A" w14:textId="77777777" w:rsidR="001F1BC4" w:rsidRPr="009E52FF" w:rsidRDefault="001F1BC4" w:rsidP="001F1BC4">
                  <w:pPr>
                    <w:spacing w:line="240" w:lineRule="auto"/>
                    <w:rPr>
                      <w:sz w:val="20"/>
                      <w:szCs w:val="20"/>
                      <w:lang w:val="en-US"/>
                    </w:rPr>
                  </w:pPr>
                  <w:r w:rsidRPr="009E52FF">
                    <w:rPr>
                      <w:sz w:val="20"/>
                      <w:szCs w:val="20"/>
                      <w:lang w:val="en-US"/>
                    </w:rPr>
                    <w:t>Patty Duijm and Iman van Lelyveld</w:t>
                  </w:r>
                </w:p>
                <w:p w14:paraId="378994AE" w14:textId="77777777" w:rsidR="008C053A" w:rsidRPr="00C40F2C" w:rsidRDefault="001F1BC4" w:rsidP="001F1BC4">
                  <w:pPr>
                    <w:spacing w:line="240" w:lineRule="auto"/>
                    <w:rPr>
                      <w:lang w:val="en-US"/>
                    </w:rPr>
                  </w:pPr>
                  <w:r w:rsidRPr="009E52FF">
                    <w:rPr>
                      <w:sz w:val="20"/>
                      <w:szCs w:val="20"/>
                      <w:lang w:val="en-US"/>
                    </w:rPr>
                    <w:t>Harvard Data Science Review 7(1)</w:t>
                  </w:r>
                  <w:r w:rsidRPr="009E52FF">
                    <w:rPr>
                      <w:sz w:val="20"/>
                      <w:szCs w:val="20"/>
                      <w:lang w:val="en-US"/>
                    </w:rPr>
                    <w:br/>
                  </w:r>
                </w:p>
                <w:p w14:paraId="5250A1E6" w14:textId="461F3D90" w:rsidR="001F1BC4" w:rsidRPr="009E52FF" w:rsidRDefault="001F1BC4" w:rsidP="001F1BC4">
                  <w:pPr>
                    <w:spacing w:line="240" w:lineRule="auto"/>
                    <w:rPr>
                      <w:sz w:val="20"/>
                      <w:szCs w:val="20"/>
                      <w:lang w:val="en-US"/>
                    </w:rPr>
                  </w:pPr>
                  <w:hyperlink r:id="rId26" w:history="1">
                    <w:r w:rsidRPr="009E52FF">
                      <w:rPr>
                        <w:rStyle w:val="Hyperlink"/>
                        <w:sz w:val="20"/>
                        <w:szCs w:val="20"/>
                        <w:lang w:val="en-US"/>
                      </w:rPr>
                      <w:t>Deposit market concentration and monetary transmission: Evidence from the euro area</w:t>
                    </w:r>
                  </w:hyperlink>
                </w:p>
                <w:p w14:paraId="7A5FC8B2" w14:textId="77777777" w:rsidR="001F1BC4" w:rsidRPr="009E52FF" w:rsidRDefault="001F1BC4" w:rsidP="001F1BC4">
                  <w:pPr>
                    <w:spacing w:line="240" w:lineRule="auto"/>
                    <w:rPr>
                      <w:sz w:val="20"/>
                      <w:szCs w:val="20"/>
                      <w:lang w:val="en-US"/>
                    </w:rPr>
                  </w:pPr>
                  <w:r w:rsidRPr="009E52FF">
                    <w:rPr>
                      <w:sz w:val="20"/>
                      <w:szCs w:val="20"/>
                      <w:lang w:val="en-US"/>
                    </w:rPr>
                    <w:t>Stephen Kho</w:t>
                  </w:r>
                </w:p>
                <w:p w14:paraId="664250AB" w14:textId="77777777" w:rsidR="008C053A" w:rsidRPr="00C40F2C" w:rsidRDefault="001F1BC4" w:rsidP="001F1BC4">
                  <w:pPr>
                    <w:spacing w:line="240" w:lineRule="auto"/>
                    <w:rPr>
                      <w:lang w:val="en-US"/>
                    </w:rPr>
                  </w:pPr>
                  <w:r w:rsidRPr="009E52FF">
                    <w:rPr>
                      <w:sz w:val="20"/>
                      <w:szCs w:val="20"/>
                      <w:lang w:val="en-US"/>
                    </w:rPr>
                    <w:t>European Economic Review 173, 104933</w:t>
                  </w:r>
                  <w:r w:rsidRPr="009E52FF">
                    <w:rPr>
                      <w:sz w:val="20"/>
                      <w:szCs w:val="20"/>
                      <w:lang w:val="en-US"/>
                    </w:rPr>
                    <w:br/>
                  </w:r>
                </w:p>
                <w:p w14:paraId="47A35431" w14:textId="57795F1A" w:rsidR="001F1BC4" w:rsidRPr="009E52FF" w:rsidRDefault="001F1BC4" w:rsidP="001F1BC4">
                  <w:pPr>
                    <w:spacing w:line="240" w:lineRule="auto"/>
                    <w:rPr>
                      <w:sz w:val="20"/>
                      <w:szCs w:val="20"/>
                      <w:lang w:val="en-US"/>
                    </w:rPr>
                  </w:pPr>
                  <w:hyperlink r:id="rId27" w:history="1">
                    <w:r w:rsidRPr="009E52FF">
                      <w:rPr>
                        <w:rStyle w:val="Hyperlink"/>
                        <w:sz w:val="20"/>
                        <w:szCs w:val="20"/>
                        <w:lang w:val="en-US"/>
                      </w:rPr>
                      <w:t>What drives trust in the financial sector supervisor? New empirical evidence for the Netherlands</w:t>
                    </w:r>
                  </w:hyperlink>
                </w:p>
                <w:p w14:paraId="5FE1BBA2" w14:textId="77777777" w:rsidR="001F1BC4" w:rsidRPr="009E52FF" w:rsidRDefault="001F1BC4" w:rsidP="001F1BC4">
                  <w:pPr>
                    <w:spacing w:line="240" w:lineRule="auto"/>
                    <w:rPr>
                      <w:sz w:val="20"/>
                      <w:szCs w:val="20"/>
                      <w:lang w:val="en-US"/>
                    </w:rPr>
                  </w:pPr>
                  <w:r w:rsidRPr="009E52FF">
                    <w:rPr>
                      <w:sz w:val="20"/>
                      <w:szCs w:val="20"/>
                      <w:lang w:val="en-US"/>
                    </w:rPr>
                    <w:t>Carin van der Cruijsen, Maurice Doll and Jakob de Haan</w:t>
                  </w:r>
                </w:p>
                <w:p w14:paraId="20A8B5F6" w14:textId="77777777" w:rsidR="008C053A" w:rsidRPr="00C40F2C" w:rsidRDefault="001F1BC4" w:rsidP="001F1BC4">
                  <w:pPr>
                    <w:spacing w:line="240" w:lineRule="auto"/>
                    <w:rPr>
                      <w:lang w:val="en-US"/>
                    </w:rPr>
                  </w:pPr>
                  <w:proofErr w:type="spellStart"/>
                  <w:r w:rsidRPr="009E52FF">
                    <w:rPr>
                      <w:sz w:val="20"/>
                      <w:szCs w:val="20"/>
                      <w:lang w:val="en-US"/>
                    </w:rPr>
                    <w:t>Empirica</w:t>
                  </w:r>
                  <w:proofErr w:type="spellEnd"/>
                  <w:r w:rsidRPr="009E52FF">
                    <w:rPr>
                      <w:sz w:val="20"/>
                      <w:szCs w:val="20"/>
                      <w:lang w:val="en-US"/>
                    </w:rPr>
                    <w:t xml:space="preserve"> 52: 173–195.</w:t>
                  </w:r>
                  <w:r w:rsidRPr="009E52FF">
                    <w:rPr>
                      <w:sz w:val="20"/>
                      <w:szCs w:val="20"/>
                      <w:lang w:val="en-US"/>
                    </w:rPr>
                    <w:br/>
                  </w:r>
                </w:p>
                <w:p w14:paraId="71E81BE7" w14:textId="2110E833" w:rsidR="001F1BC4" w:rsidRPr="009E52FF" w:rsidRDefault="001F1BC4" w:rsidP="001F1BC4">
                  <w:pPr>
                    <w:spacing w:line="240" w:lineRule="auto"/>
                    <w:rPr>
                      <w:sz w:val="20"/>
                      <w:szCs w:val="20"/>
                      <w:lang w:val="en-US"/>
                    </w:rPr>
                  </w:pPr>
                  <w:hyperlink r:id="rId28" w:history="1">
                    <w:r w:rsidRPr="009E52FF">
                      <w:rPr>
                        <w:rStyle w:val="Hyperlink"/>
                        <w:sz w:val="20"/>
                        <w:szCs w:val="20"/>
                        <w:lang w:val="en-US"/>
                      </w:rPr>
                      <w:t>The effect of unemployment, housing tenure and commuting distance on interregional migration in the Netherlands</w:t>
                    </w:r>
                  </w:hyperlink>
                </w:p>
                <w:p w14:paraId="708355E4" w14:textId="77777777" w:rsidR="001F1BC4" w:rsidRPr="009E52FF" w:rsidRDefault="001F1BC4" w:rsidP="001F1BC4">
                  <w:pPr>
                    <w:spacing w:line="240" w:lineRule="auto"/>
                    <w:rPr>
                      <w:sz w:val="20"/>
                      <w:szCs w:val="20"/>
                      <w:lang w:val="en-US"/>
                    </w:rPr>
                  </w:pPr>
                  <w:r w:rsidRPr="009E52FF">
                    <w:rPr>
                      <w:sz w:val="20"/>
                      <w:szCs w:val="20"/>
                      <w:lang w:val="en-US"/>
                    </w:rPr>
                    <w:t>Cindy Biesenbeek</w:t>
                  </w:r>
                </w:p>
                <w:p w14:paraId="69A3EF07" w14:textId="77777777" w:rsidR="008C053A" w:rsidRPr="00C40F2C" w:rsidRDefault="001F1BC4" w:rsidP="001F1BC4">
                  <w:pPr>
                    <w:spacing w:line="240" w:lineRule="auto"/>
                    <w:rPr>
                      <w:lang w:val="en-US"/>
                    </w:rPr>
                  </w:pPr>
                  <w:r w:rsidRPr="009E52FF">
                    <w:rPr>
                      <w:sz w:val="20"/>
                      <w:szCs w:val="20"/>
                      <w:lang w:val="en-US"/>
                    </w:rPr>
                    <w:t>Regional Studies (2025), 1–14.</w:t>
                  </w:r>
                  <w:r w:rsidRPr="009E52FF">
                    <w:rPr>
                      <w:sz w:val="20"/>
                      <w:szCs w:val="20"/>
                      <w:lang w:val="en-US"/>
                    </w:rPr>
                    <w:br/>
                  </w:r>
                </w:p>
                <w:p w14:paraId="7982F819" w14:textId="14B11CA0" w:rsidR="001F1BC4" w:rsidRPr="009E52FF" w:rsidRDefault="001F1BC4" w:rsidP="001F1BC4">
                  <w:pPr>
                    <w:spacing w:line="240" w:lineRule="auto"/>
                    <w:rPr>
                      <w:sz w:val="20"/>
                      <w:szCs w:val="20"/>
                      <w:lang w:val="en-US"/>
                    </w:rPr>
                  </w:pPr>
                  <w:hyperlink r:id="rId29" w:history="1">
                    <w:r w:rsidRPr="009E52FF">
                      <w:rPr>
                        <w:rStyle w:val="Hyperlink"/>
                        <w:sz w:val="20"/>
                        <w:szCs w:val="20"/>
                        <w:lang w:val="en-US"/>
                      </w:rPr>
                      <w:t>Can paying become too easy? Questions raised regarding frictionless payments at the crossroads of public policy objectives</w:t>
                    </w:r>
                  </w:hyperlink>
                  <w:r w:rsidRPr="009E52FF">
                    <w:rPr>
                      <w:sz w:val="20"/>
                      <w:szCs w:val="20"/>
                      <w:lang w:val="en-US"/>
                    </w:rPr>
                    <w:br/>
                    <w:t>Ellen Naudts</w:t>
                  </w:r>
                  <w:r w:rsidR="00B46965">
                    <w:rPr>
                      <w:sz w:val="20"/>
                      <w:szCs w:val="20"/>
                      <w:lang w:val="en-US"/>
                    </w:rPr>
                    <w:t>,</w:t>
                  </w:r>
                  <w:r w:rsidRPr="009E52FF">
                    <w:rPr>
                      <w:sz w:val="20"/>
                      <w:szCs w:val="20"/>
                      <w:lang w:val="en-US"/>
                    </w:rPr>
                    <w:t xml:space="preserve"> Jorgen </w:t>
                  </w:r>
                  <w:proofErr w:type="spellStart"/>
                  <w:r w:rsidRPr="009E52FF">
                    <w:rPr>
                      <w:sz w:val="20"/>
                      <w:szCs w:val="20"/>
                      <w:lang w:val="en-US"/>
                    </w:rPr>
                    <w:t>Eijlander</w:t>
                  </w:r>
                  <w:proofErr w:type="spellEnd"/>
                  <w:r w:rsidRPr="009E52FF">
                    <w:rPr>
                      <w:sz w:val="20"/>
                      <w:szCs w:val="20"/>
                      <w:lang w:val="en-US"/>
                    </w:rPr>
                    <w:br/>
                    <w:t>Journal of Payments Strategy &amp; Systems 18(4), 342-356</w:t>
                  </w:r>
                </w:p>
                <w:p w14:paraId="62602C88" w14:textId="77777777" w:rsidR="00E13096" w:rsidRDefault="00E13096" w:rsidP="000F5017">
                  <w:pPr>
                    <w:spacing w:line="227" w:lineRule="atLeast"/>
                    <w:rPr>
                      <w:b/>
                      <w:color w:val="1226AA"/>
                      <w:sz w:val="20"/>
                      <w:szCs w:val="20"/>
                      <w:lang w:val="en-US"/>
                    </w:rPr>
                  </w:pPr>
                </w:p>
                <w:p w14:paraId="7C473FBD" w14:textId="77777777" w:rsidR="00E13096" w:rsidRDefault="00E13096" w:rsidP="000F5017">
                  <w:pPr>
                    <w:spacing w:line="227" w:lineRule="atLeast"/>
                    <w:rPr>
                      <w:b/>
                      <w:color w:val="1226AA"/>
                      <w:sz w:val="20"/>
                      <w:szCs w:val="20"/>
                      <w:lang w:val="en-US"/>
                    </w:rPr>
                  </w:pPr>
                </w:p>
                <w:p w14:paraId="52B407BA" w14:textId="1E995B10" w:rsidR="001F1BC4" w:rsidRDefault="001F1BC4" w:rsidP="000F5017">
                  <w:pPr>
                    <w:spacing w:line="227" w:lineRule="atLeast"/>
                    <w:rPr>
                      <w:b/>
                      <w:color w:val="1226AA"/>
                      <w:sz w:val="20"/>
                      <w:szCs w:val="20"/>
                      <w:lang w:val="en-US"/>
                    </w:rPr>
                  </w:pPr>
                  <w:r w:rsidRPr="009E52FF">
                    <w:rPr>
                      <w:b/>
                      <w:color w:val="1226AA"/>
                      <w:sz w:val="20"/>
                      <w:szCs w:val="20"/>
                      <w:lang w:val="en-US"/>
                    </w:rPr>
                    <w:lastRenderedPageBreak/>
                    <w:t>Published books/articles in books</w:t>
                  </w:r>
                </w:p>
                <w:p w14:paraId="3BD72897" w14:textId="77777777" w:rsidR="000F5017" w:rsidRPr="000F5017" w:rsidRDefault="000F5017" w:rsidP="000F5017">
                  <w:pPr>
                    <w:spacing w:line="227" w:lineRule="atLeast"/>
                    <w:rPr>
                      <w:b/>
                      <w:color w:val="1226AA"/>
                      <w:sz w:val="20"/>
                      <w:szCs w:val="20"/>
                      <w:lang w:val="en-US"/>
                    </w:rPr>
                  </w:pPr>
                </w:p>
                <w:p w14:paraId="54EB615F" w14:textId="77777777" w:rsidR="008C053A" w:rsidRDefault="001F1BC4" w:rsidP="008C053A">
                  <w:pPr>
                    <w:spacing w:line="240" w:lineRule="auto"/>
                    <w:rPr>
                      <w:sz w:val="20"/>
                      <w:szCs w:val="20"/>
                      <w:lang w:val="en-US"/>
                    </w:rPr>
                  </w:pPr>
                  <w:hyperlink r:id="rId30" w:history="1">
                    <w:r w:rsidRPr="00063436">
                      <w:rPr>
                        <w:rStyle w:val="Hyperlink"/>
                        <w:sz w:val="20"/>
                        <w:szCs w:val="20"/>
                        <w:lang w:val="en-US"/>
                      </w:rPr>
                      <w:t>Challenges for macroprudential policies</w:t>
                    </w:r>
                  </w:hyperlink>
                  <w:r w:rsidRPr="009E52FF">
                    <w:rPr>
                      <w:sz w:val="20"/>
                      <w:szCs w:val="20"/>
                      <w:lang w:val="en-US"/>
                    </w:rPr>
                    <w:t xml:space="preserve">, </w:t>
                  </w:r>
                  <w:r w:rsidR="00B46965">
                    <w:rPr>
                      <w:sz w:val="20"/>
                      <w:szCs w:val="20"/>
                      <w:lang w:val="en-US"/>
                    </w:rPr>
                    <w:br/>
                  </w:r>
                  <w:r w:rsidR="00B46965" w:rsidRPr="00B46965">
                    <w:rPr>
                      <w:sz w:val="20"/>
                      <w:szCs w:val="20"/>
                      <w:lang w:val="en-US"/>
                    </w:rPr>
                    <w:t>Gabriele Galati</w:t>
                  </w:r>
                  <w:r w:rsidR="00B46965">
                    <w:rPr>
                      <w:sz w:val="20"/>
                      <w:szCs w:val="20"/>
                      <w:lang w:val="en-US"/>
                    </w:rPr>
                    <w:t xml:space="preserve">, </w:t>
                  </w:r>
                  <w:r w:rsidR="00B46965" w:rsidRPr="00B46965">
                    <w:rPr>
                      <w:sz w:val="20"/>
                      <w:szCs w:val="20"/>
                      <w:lang w:val="en-US"/>
                    </w:rPr>
                    <w:t>Richhild Moessner</w:t>
                  </w:r>
                </w:p>
                <w:p w14:paraId="5F994EE6" w14:textId="0BA1B00C" w:rsidR="001F1BC4" w:rsidRPr="009E52FF" w:rsidRDefault="001F1BC4" w:rsidP="008C053A">
                  <w:pPr>
                    <w:spacing w:line="240" w:lineRule="auto"/>
                    <w:rPr>
                      <w:sz w:val="20"/>
                      <w:szCs w:val="20"/>
                      <w:lang w:val="en-US"/>
                    </w:rPr>
                  </w:pPr>
                  <w:r w:rsidRPr="009E52FF">
                    <w:rPr>
                      <w:sz w:val="20"/>
                      <w:szCs w:val="20"/>
                      <w:lang w:val="en-US"/>
                    </w:rPr>
                    <w:t xml:space="preserve">Chapter 25 In Allen N. Berger, Philip Molyneux, John O.S. Wilson (Eds.) </w:t>
                  </w:r>
                  <w:r w:rsidR="00B46965">
                    <w:rPr>
                      <w:sz w:val="20"/>
                      <w:szCs w:val="20"/>
                      <w:lang w:val="en-US"/>
                    </w:rPr>
                    <w:br/>
                  </w:r>
                  <w:r w:rsidRPr="008C053A">
                    <w:rPr>
                      <w:sz w:val="20"/>
                      <w:szCs w:val="20"/>
                      <w:lang w:val="en-US"/>
                    </w:rPr>
                    <w:t>The Oxford Handbook of Banking.</w:t>
                  </w:r>
                  <w:r w:rsidRPr="009E52FF">
                    <w:rPr>
                      <w:sz w:val="20"/>
                      <w:szCs w:val="20"/>
                      <w:lang w:val="en-US"/>
                    </w:rPr>
                    <w:t xml:space="preserve"> Oxford University Press.</w:t>
                  </w:r>
                </w:p>
                <w:p w14:paraId="6E828E2A" w14:textId="77777777" w:rsidR="00F84EB3" w:rsidRPr="008C72CF" w:rsidRDefault="00F84EB3" w:rsidP="00E02F47">
                  <w:pPr>
                    <w:spacing w:line="227" w:lineRule="atLeast"/>
                    <w:rPr>
                      <w:rFonts w:eastAsia="Calibri" w:cs="Times New Roman"/>
                      <w:sz w:val="20"/>
                      <w:szCs w:val="20"/>
                      <w:lang w:val="en-US"/>
                    </w:rPr>
                  </w:pPr>
                </w:p>
                <w:p w14:paraId="025AF244" w14:textId="77777777" w:rsidR="00F75762" w:rsidRPr="009E52FF" w:rsidRDefault="00F75762" w:rsidP="00F84EB3">
                  <w:pPr>
                    <w:rPr>
                      <w:color w:val="1226AA"/>
                      <w:sz w:val="20"/>
                      <w:szCs w:val="20"/>
                      <w:lang w:val="en-US"/>
                    </w:rPr>
                  </w:pPr>
                  <w:r w:rsidRPr="009E52FF">
                    <w:rPr>
                      <w:b/>
                      <w:color w:val="1226AA"/>
                      <w:sz w:val="20"/>
                      <w:szCs w:val="20"/>
                      <w:lang w:val="en-US"/>
                    </w:rPr>
                    <w:t>Forthcoming journal articles</w:t>
                  </w:r>
                  <w:r w:rsidRPr="009E52FF">
                    <w:rPr>
                      <w:color w:val="1226AA"/>
                      <w:sz w:val="20"/>
                      <w:szCs w:val="20"/>
                      <w:lang w:val="en-US"/>
                    </w:rPr>
                    <w:t xml:space="preserve"> </w:t>
                  </w:r>
                </w:p>
                <w:p w14:paraId="715E4940" w14:textId="2D7F08E9" w:rsidR="00380829" w:rsidRPr="00380829" w:rsidRDefault="004E2EBB" w:rsidP="008C053A">
                  <w:pPr>
                    <w:spacing w:before="100" w:beforeAutospacing="1" w:after="100" w:afterAutospacing="1" w:line="240" w:lineRule="auto"/>
                    <w:rPr>
                      <w:lang w:val="en-US"/>
                    </w:rPr>
                  </w:pPr>
                  <w:hyperlink r:id="rId31" w:history="1">
                    <w:r w:rsidRPr="00F73D12">
                      <w:rPr>
                        <w:rStyle w:val="Hyperlink"/>
                        <w:lang w:val="en-US"/>
                      </w:rPr>
                      <w:t>Optimal normalization policy under behavioral expectations</w:t>
                    </w:r>
                  </w:hyperlink>
                  <w:r>
                    <w:rPr>
                      <w:lang w:val="en-US"/>
                    </w:rPr>
                    <w:br/>
                  </w:r>
                  <w:r w:rsidR="00B94CCC">
                    <w:rPr>
                      <w:lang w:val="en-US"/>
                    </w:rPr>
                    <w:t>Alexandre Carrier, Kostas Mavromatis</w:t>
                  </w:r>
                  <w:r w:rsidR="00B94CCC">
                    <w:rPr>
                      <w:lang w:val="en-US"/>
                    </w:rPr>
                    <w:br/>
                  </w:r>
                  <w:r w:rsidR="00F73D12">
                    <w:rPr>
                      <w:lang w:val="en-US"/>
                    </w:rPr>
                    <w:t>Journal of Monetary Economics</w:t>
                  </w:r>
                </w:p>
                <w:p w14:paraId="239686F6" w14:textId="75249CD7" w:rsidR="008C053A" w:rsidRPr="00C40F2C" w:rsidRDefault="001F1BC4" w:rsidP="008348D5">
                  <w:pPr>
                    <w:spacing w:before="100" w:beforeAutospacing="1" w:after="100" w:afterAutospacing="1" w:line="240" w:lineRule="auto"/>
                    <w:rPr>
                      <w:lang w:val="en-US"/>
                    </w:rPr>
                  </w:pPr>
                  <w:hyperlink r:id="rId32" w:history="1">
                    <w:r w:rsidRPr="00447DF4">
                      <w:rPr>
                        <w:rStyle w:val="Hyperlink"/>
                        <w:sz w:val="20"/>
                        <w:szCs w:val="20"/>
                        <w:lang w:val="en-US"/>
                      </w:rPr>
                      <w:t>A literature review of Securities Holdings Statistics research and a practitioner's guide</w:t>
                    </w:r>
                  </w:hyperlink>
                  <w:r w:rsidRPr="00447DF4">
                    <w:rPr>
                      <w:sz w:val="20"/>
                      <w:szCs w:val="20"/>
                      <w:lang w:val="en-US"/>
                    </w:rPr>
                    <w:br/>
                    <w:t>Martijn Boermans</w:t>
                  </w:r>
                  <w:r w:rsidRPr="009E52FF">
                    <w:rPr>
                      <w:sz w:val="20"/>
                      <w:szCs w:val="20"/>
                      <w:lang w:val="en-US"/>
                    </w:rPr>
                    <w:br/>
                  </w:r>
                  <w:r w:rsidRPr="00447DF4">
                    <w:rPr>
                      <w:sz w:val="20"/>
                      <w:szCs w:val="20"/>
                      <w:lang w:val="en-US"/>
                    </w:rPr>
                    <w:t>Journal of Economic Surveys</w:t>
                  </w:r>
                </w:p>
                <w:p w14:paraId="6DD621E2" w14:textId="77777777" w:rsidR="007F6698" w:rsidRDefault="001F1BC4" w:rsidP="007F6698">
                  <w:pPr>
                    <w:spacing w:before="100" w:beforeAutospacing="1" w:after="100" w:afterAutospacing="1" w:line="240" w:lineRule="auto"/>
                    <w:rPr>
                      <w:sz w:val="20"/>
                      <w:szCs w:val="20"/>
                      <w:lang w:val="en-US"/>
                    </w:rPr>
                  </w:pPr>
                  <w:hyperlink r:id="rId33" w:history="1">
                    <w:r w:rsidRPr="009E52FF">
                      <w:rPr>
                        <w:rStyle w:val="Hyperlink"/>
                        <w:sz w:val="20"/>
                        <w:szCs w:val="20"/>
                        <w:lang w:val="en-US"/>
                      </w:rPr>
                      <w:t xml:space="preserve">Fearless woman: </w:t>
                    </w:r>
                    <w:r w:rsidRPr="00447DF4">
                      <w:rPr>
                        <w:rStyle w:val="Hyperlink"/>
                        <w:sz w:val="20"/>
                        <w:szCs w:val="20"/>
                        <w:lang w:val="en-US"/>
                      </w:rPr>
                      <w:t>Financial literacy, confidence, and stock market participation</w:t>
                    </w:r>
                  </w:hyperlink>
                  <w:r w:rsidRPr="00447DF4">
                    <w:rPr>
                      <w:sz w:val="20"/>
                      <w:szCs w:val="20"/>
                      <w:lang w:val="en-US"/>
                    </w:rPr>
                    <w:br/>
                    <w:t xml:space="preserve">Tabea Bucher-Koenen, Rob </w:t>
                  </w:r>
                  <w:proofErr w:type="spellStart"/>
                  <w:r w:rsidRPr="00447DF4">
                    <w:rPr>
                      <w:sz w:val="20"/>
                      <w:szCs w:val="20"/>
                      <w:lang w:val="en-US"/>
                    </w:rPr>
                    <w:t>Alessie</w:t>
                  </w:r>
                  <w:proofErr w:type="spellEnd"/>
                  <w:r w:rsidRPr="00447DF4">
                    <w:rPr>
                      <w:sz w:val="20"/>
                      <w:szCs w:val="20"/>
                      <w:lang w:val="en-US"/>
                    </w:rPr>
                    <w:t>, Annamaria Lusardi and Maarten van Rooij</w:t>
                  </w:r>
                  <w:r w:rsidR="007F6698">
                    <w:rPr>
                      <w:sz w:val="20"/>
                      <w:szCs w:val="20"/>
                      <w:lang w:val="en-US"/>
                    </w:rPr>
                    <w:t xml:space="preserve"> </w:t>
                  </w:r>
                </w:p>
                <w:p w14:paraId="7A4A65C9" w14:textId="1CC933D5" w:rsidR="001F1BC4" w:rsidRPr="00447DF4" w:rsidRDefault="001F1BC4" w:rsidP="007F6698">
                  <w:pPr>
                    <w:spacing w:before="100" w:beforeAutospacing="1" w:after="100" w:afterAutospacing="1" w:line="240" w:lineRule="auto"/>
                    <w:rPr>
                      <w:sz w:val="20"/>
                      <w:szCs w:val="20"/>
                      <w:lang w:val="en-US"/>
                    </w:rPr>
                  </w:pPr>
                  <w:r w:rsidRPr="00447DF4">
                    <w:rPr>
                      <w:sz w:val="20"/>
                      <w:szCs w:val="20"/>
                      <w:lang w:val="en-US"/>
                    </w:rPr>
                    <w:t>Management Science</w:t>
                  </w:r>
                </w:p>
                <w:p w14:paraId="132FDA6A" w14:textId="045FA508" w:rsidR="001F1BC4" w:rsidRPr="00447DF4" w:rsidRDefault="001F1BC4" w:rsidP="008348D5">
                  <w:pPr>
                    <w:spacing w:before="100" w:beforeAutospacing="1" w:after="100" w:afterAutospacing="1" w:line="240" w:lineRule="auto"/>
                    <w:rPr>
                      <w:sz w:val="20"/>
                      <w:szCs w:val="20"/>
                      <w:lang w:val="en-US"/>
                    </w:rPr>
                  </w:pPr>
                  <w:hyperlink r:id="rId34" w:history="1">
                    <w:r w:rsidRPr="00447DF4">
                      <w:rPr>
                        <w:rStyle w:val="Hyperlink"/>
                        <w:sz w:val="20"/>
                        <w:szCs w:val="20"/>
                        <w:lang w:val="en-US"/>
                      </w:rPr>
                      <w:t>Shocks to Occupational Pensions and Household Savings</w:t>
                    </w:r>
                  </w:hyperlink>
                  <w:r w:rsidRPr="00447DF4">
                    <w:rPr>
                      <w:sz w:val="20"/>
                      <w:szCs w:val="20"/>
                      <w:lang w:val="en-US"/>
                    </w:rPr>
                    <w:br/>
                    <w:t>Francesco Caloia, Mauro Mastrogiacomo, Irene Simonetti</w:t>
                  </w:r>
                  <w:r w:rsidRPr="00447DF4">
                    <w:rPr>
                      <w:sz w:val="20"/>
                      <w:szCs w:val="20"/>
                      <w:lang w:val="en-US"/>
                    </w:rPr>
                    <w:br/>
                    <w:t>Journal of Pension Economics &amp; Finance</w:t>
                  </w:r>
                </w:p>
                <w:p w14:paraId="573EFED4" w14:textId="77777777" w:rsidR="008348D5" w:rsidRDefault="001F1BC4" w:rsidP="008348D5">
                  <w:pPr>
                    <w:spacing w:before="100" w:beforeAutospacing="1" w:after="100" w:afterAutospacing="1" w:line="240" w:lineRule="auto"/>
                    <w:rPr>
                      <w:sz w:val="20"/>
                      <w:szCs w:val="20"/>
                      <w:lang w:val="en-GB"/>
                    </w:rPr>
                  </w:pPr>
                  <w:hyperlink r:id="rId35" w:history="1">
                    <w:r w:rsidRPr="00447DF4">
                      <w:rPr>
                        <w:rStyle w:val="Hyperlink"/>
                        <w:sz w:val="20"/>
                        <w:szCs w:val="20"/>
                        <w:lang w:val="en-US"/>
                      </w:rPr>
                      <w:t>Macroeconomic reversal rate in a low interest rate environment</w:t>
                    </w:r>
                  </w:hyperlink>
                  <w:r w:rsidRPr="00447DF4">
                    <w:rPr>
                      <w:sz w:val="20"/>
                      <w:szCs w:val="20"/>
                      <w:lang w:val="en-US"/>
                    </w:rPr>
                    <w:br/>
                    <w:t xml:space="preserve">Jan Willem van den End, Paul </w:t>
                  </w:r>
                  <w:proofErr w:type="spellStart"/>
                  <w:r w:rsidRPr="00447DF4">
                    <w:rPr>
                      <w:sz w:val="20"/>
                      <w:szCs w:val="20"/>
                      <w:lang w:val="en-US"/>
                    </w:rPr>
                    <w:t>Konietschke</w:t>
                  </w:r>
                  <w:proofErr w:type="spellEnd"/>
                  <w:r w:rsidRPr="00447DF4">
                    <w:rPr>
                      <w:sz w:val="20"/>
                      <w:szCs w:val="20"/>
                      <w:lang w:val="en-US"/>
                    </w:rPr>
                    <w:t>, Anna Samarina and Irina Stanga</w:t>
                  </w:r>
                  <w:r w:rsidRPr="00447DF4">
                    <w:rPr>
                      <w:sz w:val="20"/>
                      <w:szCs w:val="20"/>
                      <w:lang w:val="en-US"/>
                    </w:rPr>
                    <w:br/>
                    <w:t>International Journal of Central Banking</w:t>
                  </w:r>
                  <w:r w:rsidRPr="009E52FF">
                    <w:rPr>
                      <w:sz w:val="20"/>
                      <w:szCs w:val="20"/>
                      <w:lang w:val="en-US"/>
                    </w:rPr>
                    <w:br/>
                  </w:r>
                </w:p>
                <w:p w14:paraId="07EEF292" w14:textId="7FD2DB96" w:rsidR="005A582B" w:rsidRPr="00357A33" w:rsidRDefault="00AB7720" w:rsidP="008C053A">
                  <w:pPr>
                    <w:spacing w:before="100" w:beforeAutospacing="1" w:after="100" w:afterAutospacing="1" w:line="360" w:lineRule="auto"/>
                    <w:rPr>
                      <w:sz w:val="20"/>
                      <w:szCs w:val="20"/>
                      <w:lang w:val="en-GB"/>
                    </w:rPr>
                  </w:pPr>
                  <w:r w:rsidRPr="009E52FF">
                    <w:rPr>
                      <w:sz w:val="20"/>
                      <w:szCs w:val="20"/>
                      <w:lang w:val="en-GB"/>
                    </w:rPr>
                    <w:t xml:space="preserve">For a complete list of publications see our </w:t>
                  </w:r>
                  <w:hyperlink r:id="rId36" w:history="1">
                    <w:r w:rsidRPr="009E52FF">
                      <w:rPr>
                        <w:rStyle w:val="Hyperlink"/>
                        <w:sz w:val="20"/>
                        <w:szCs w:val="20"/>
                        <w:lang w:val="en-GB"/>
                      </w:rPr>
                      <w:t>website</w:t>
                    </w:r>
                  </w:hyperlink>
                  <w:r w:rsidRPr="009E52FF">
                    <w:rPr>
                      <w:sz w:val="20"/>
                      <w:szCs w:val="20"/>
                      <w:lang w:val="en-GB"/>
                    </w:rPr>
                    <w:t>.</w:t>
                  </w:r>
                </w:p>
                <w:p w14:paraId="3624F49B" w14:textId="77777777" w:rsidR="001F1BC4" w:rsidRPr="00C40F2C" w:rsidRDefault="001F1BC4" w:rsidP="001F1BC4">
                  <w:pPr>
                    <w:rPr>
                      <w:color w:val="1226AA"/>
                      <w:sz w:val="20"/>
                      <w:szCs w:val="20"/>
                    </w:rPr>
                  </w:pPr>
                  <w:proofErr w:type="spellStart"/>
                  <w:r w:rsidRPr="00C40F2C">
                    <w:rPr>
                      <w:b/>
                      <w:color w:val="1226AA"/>
                      <w:sz w:val="20"/>
                      <w:szCs w:val="20"/>
                    </w:rPr>
                    <w:t>Other</w:t>
                  </w:r>
                  <w:proofErr w:type="spellEnd"/>
                  <w:r w:rsidRPr="00C40F2C">
                    <w:rPr>
                      <w:b/>
                      <w:color w:val="1226AA"/>
                      <w:sz w:val="20"/>
                      <w:szCs w:val="20"/>
                    </w:rPr>
                    <w:t xml:space="preserve"> </w:t>
                  </w:r>
                  <w:proofErr w:type="spellStart"/>
                  <w:r w:rsidRPr="00C40F2C">
                    <w:rPr>
                      <w:b/>
                      <w:color w:val="1226AA"/>
                      <w:sz w:val="20"/>
                      <w:szCs w:val="20"/>
                    </w:rPr>
                    <w:t>publications</w:t>
                  </w:r>
                  <w:proofErr w:type="spellEnd"/>
                </w:p>
                <w:p w14:paraId="42C8BF57" w14:textId="77777777" w:rsidR="001F1BC4" w:rsidRPr="00C40F2C" w:rsidRDefault="001F1BC4" w:rsidP="001F1BC4">
                  <w:pPr>
                    <w:spacing w:line="227" w:lineRule="atLeast"/>
                    <w:rPr>
                      <w:b/>
                      <w:color w:val="1226AA"/>
                      <w:sz w:val="20"/>
                      <w:szCs w:val="20"/>
                    </w:rPr>
                  </w:pPr>
                </w:p>
                <w:p w14:paraId="7F9EF704" w14:textId="77777777" w:rsidR="008348D5" w:rsidRPr="00C40F2C" w:rsidRDefault="001F1BC4" w:rsidP="001F1BC4">
                  <w:pPr>
                    <w:spacing w:line="276" w:lineRule="auto"/>
                    <w:rPr>
                      <w:sz w:val="20"/>
                      <w:szCs w:val="20"/>
                    </w:rPr>
                  </w:pPr>
                  <w:hyperlink r:id="rId37" w:history="1">
                    <w:r w:rsidRPr="00C40F2C">
                      <w:rPr>
                        <w:rStyle w:val="Hyperlink"/>
                        <w:sz w:val="20"/>
                        <w:szCs w:val="20"/>
                      </w:rPr>
                      <w:t>Inflatie in Nederland loopt uit de pas met de eurozone</w:t>
                    </w:r>
                  </w:hyperlink>
                  <w:r w:rsidRPr="00C40F2C">
                    <w:rPr>
                      <w:sz w:val="20"/>
                      <w:szCs w:val="20"/>
                    </w:rPr>
                    <w:br/>
                    <w:t>Jan Willem van den End, Jos de Grip</w:t>
                  </w:r>
                  <w:r w:rsidRPr="00C40F2C">
                    <w:rPr>
                      <w:sz w:val="20"/>
                      <w:szCs w:val="20"/>
                    </w:rPr>
                    <w:br/>
                    <w:t>ESB Artikel</w:t>
                  </w:r>
                </w:p>
                <w:p w14:paraId="132226D0" w14:textId="77777777" w:rsidR="008348D5" w:rsidRDefault="008348D5" w:rsidP="001F1BC4">
                  <w:pPr>
                    <w:spacing w:line="276" w:lineRule="auto"/>
                  </w:pPr>
                </w:p>
                <w:p w14:paraId="6AF843C5" w14:textId="4DFA3723" w:rsidR="008C053A" w:rsidRPr="008348D5" w:rsidRDefault="001F1BC4" w:rsidP="001F1BC4">
                  <w:pPr>
                    <w:spacing w:line="276" w:lineRule="auto"/>
                    <w:rPr>
                      <w:lang w:val="en-US"/>
                    </w:rPr>
                  </w:pPr>
                  <w:hyperlink r:id="rId38" w:history="1">
                    <w:r w:rsidRPr="009E52FF">
                      <w:rPr>
                        <w:rStyle w:val="Hyperlink"/>
                        <w:sz w:val="20"/>
                        <w:szCs w:val="20"/>
                        <w:lang w:val="en-US"/>
                      </w:rPr>
                      <w:t>The Challenge of Asset Allocation with Illiquid Private Investments</w:t>
                    </w:r>
                  </w:hyperlink>
                  <w:r w:rsidRPr="009E52FF">
                    <w:rPr>
                      <w:sz w:val="20"/>
                      <w:szCs w:val="20"/>
                      <w:lang w:val="en-US"/>
                    </w:rPr>
                    <w:br/>
                  </w:r>
                  <w:r w:rsidRPr="00447DF4">
                    <w:rPr>
                      <w:sz w:val="20"/>
                      <w:szCs w:val="20"/>
                      <w:lang w:val="en-GB"/>
                    </w:rPr>
                    <w:t>Daniel Dimitrov</w:t>
                  </w:r>
                  <w:r w:rsidRPr="00447DF4">
                    <w:rPr>
                      <w:sz w:val="20"/>
                      <w:szCs w:val="20"/>
                      <w:lang w:val="en-GB"/>
                    </w:rPr>
                    <w:br/>
                    <w:t>SUERF policy brief</w:t>
                  </w:r>
                  <w:r w:rsidRPr="00447DF4">
                    <w:rPr>
                      <w:sz w:val="20"/>
                      <w:szCs w:val="20"/>
                      <w:lang w:val="en-GB"/>
                    </w:rPr>
                    <w:br/>
                  </w:r>
                </w:p>
                <w:p w14:paraId="2A614F10" w14:textId="2E721E11" w:rsidR="001F1BC4" w:rsidRPr="009E52FF" w:rsidRDefault="001F1BC4" w:rsidP="001F1BC4">
                  <w:pPr>
                    <w:spacing w:line="276" w:lineRule="auto"/>
                    <w:rPr>
                      <w:sz w:val="20"/>
                      <w:szCs w:val="20"/>
                      <w:lang w:val="en-US"/>
                    </w:rPr>
                  </w:pPr>
                  <w:hyperlink r:id="rId39" w:history="1">
                    <w:r w:rsidRPr="009E52FF">
                      <w:rPr>
                        <w:rStyle w:val="Hyperlink"/>
                        <w:sz w:val="20"/>
                        <w:szCs w:val="20"/>
                        <w:lang w:val="en-US"/>
                      </w:rPr>
                      <w:t>Forecasting Dutch inflation using machine learning methods</w:t>
                    </w:r>
                  </w:hyperlink>
                  <w:r w:rsidRPr="009E52FF">
                    <w:rPr>
                      <w:sz w:val="20"/>
                      <w:szCs w:val="20"/>
                      <w:lang w:val="en-US"/>
                    </w:rPr>
                    <w:br/>
                    <w:t>Robert-Paul Berben, Rajni Rasiawan, Jasper de Winter</w:t>
                  </w:r>
                  <w:r w:rsidRPr="009E52FF">
                    <w:rPr>
                      <w:sz w:val="20"/>
                      <w:szCs w:val="20"/>
                      <w:lang w:val="en-US"/>
                    </w:rPr>
                    <w:br/>
                    <w:t>SUERF policy brief</w:t>
                  </w:r>
                </w:p>
                <w:p w14:paraId="6AC5117B" w14:textId="77777777" w:rsidR="008348D5" w:rsidRPr="00C40F2C" w:rsidRDefault="008348D5" w:rsidP="001F1BC4">
                  <w:pPr>
                    <w:spacing w:line="276" w:lineRule="auto"/>
                    <w:rPr>
                      <w:lang w:val="en-US"/>
                    </w:rPr>
                  </w:pPr>
                </w:p>
                <w:p w14:paraId="2171826C" w14:textId="77777777" w:rsidR="008348D5" w:rsidRPr="00C40F2C" w:rsidRDefault="008348D5" w:rsidP="001F1BC4">
                  <w:pPr>
                    <w:spacing w:line="276" w:lineRule="auto"/>
                    <w:rPr>
                      <w:lang w:val="en-US"/>
                    </w:rPr>
                  </w:pPr>
                </w:p>
                <w:p w14:paraId="4F81334B" w14:textId="77777777" w:rsidR="008348D5" w:rsidRPr="00C40F2C" w:rsidRDefault="008348D5" w:rsidP="001F1BC4">
                  <w:pPr>
                    <w:spacing w:line="276" w:lineRule="auto"/>
                    <w:rPr>
                      <w:lang w:val="en-US"/>
                    </w:rPr>
                  </w:pPr>
                </w:p>
                <w:p w14:paraId="7222E636" w14:textId="1AA538D0" w:rsidR="001F1BC4" w:rsidRPr="009E52FF" w:rsidRDefault="001F1BC4" w:rsidP="001F1BC4">
                  <w:pPr>
                    <w:spacing w:line="276" w:lineRule="auto"/>
                    <w:rPr>
                      <w:sz w:val="20"/>
                      <w:szCs w:val="20"/>
                      <w:lang w:val="en-US"/>
                    </w:rPr>
                  </w:pPr>
                  <w:hyperlink r:id="rId40" w:history="1">
                    <w:r w:rsidRPr="009E52FF">
                      <w:rPr>
                        <w:rStyle w:val="Hyperlink"/>
                        <w:sz w:val="20"/>
                        <w:szCs w:val="20"/>
                        <w:lang w:val="en-US"/>
                      </w:rPr>
                      <w:t>Why gradual and predictable? Bank lending and real economy during sharp QT</w:t>
                    </w:r>
                  </w:hyperlink>
                </w:p>
                <w:p w14:paraId="070974A9" w14:textId="77777777" w:rsidR="008348D5" w:rsidRDefault="001F1BC4" w:rsidP="001F1BC4">
                  <w:pPr>
                    <w:spacing w:line="276" w:lineRule="auto"/>
                    <w:rPr>
                      <w:sz w:val="20"/>
                      <w:szCs w:val="20"/>
                      <w:lang w:val="en-US"/>
                    </w:rPr>
                  </w:pPr>
                  <w:r w:rsidRPr="009E52FF">
                    <w:rPr>
                      <w:sz w:val="20"/>
                      <w:szCs w:val="20"/>
                      <w:lang w:val="en-US"/>
                    </w:rPr>
                    <w:t xml:space="preserve">Lorenzo Burlon, Alessandro Ferrari, Nikoleta </w:t>
                  </w:r>
                  <w:proofErr w:type="spellStart"/>
                  <w:r w:rsidRPr="009E52FF">
                    <w:rPr>
                      <w:sz w:val="20"/>
                      <w:szCs w:val="20"/>
                      <w:lang w:val="en-US"/>
                    </w:rPr>
                    <w:t>Tushteva</w:t>
                  </w:r>
                  <w:proofErr w:type="spellEnd"/>
                  <w:r w:rsidRPr="009E52FF">
                    <w:rPr>
                      <w:sz w:val="20"/>
                      <w:szCs w:val="20"/>
                      <w:lang w:val="en-US"/>
                    </w:rPr>
                    <w:t>, Stephen Kho</w:t>
                  </w:r>
                  <w:r w:rsidRPr="009E52FF">
                    <w:rPr>
                      <w:sz w:val="20"/>
                      <w:szCs w:val="20"/>
                      <w:lang w:val="en-US"/>
                    </w:rPr>
                    <w:br/>
                    <w:t>SUERF policy brief</w:t>
                  </w:r>
                </w:p>
                <w:p w14:paraId="724E007F" w14:textId="77777777" w:rsidR="008348D5" w:rsidRPr="00C40F2C" w:rsidRDefault="008348D5" w:rsidP="001F1BC4">
                  <w:pPr>
                    <w:spacing w:line="276" w:lineRule="auto"/>
                    <w:rPr>
                      <w:lang w:val="en-US"/>
                    </w:rPr>
                  </w:pPr>
                </w:p>
                <w:p w14:paraId="3FE697CF" w14:textId="2B3A2FF1" w:rsidR="001F1BC4" w:rsidRPr="009E52FF" w:rsidRDefault="001F1BC4" w:rsidP="001F1BC4">
                  <w:pPr>
                    <w:spacing w:line="276" w:lineRule="auto"/>
                    <w:rPr>
                      <w:sz w:val="20"/>
                      <w:szCs w:val="20"/>
                      <w:lang w:val="en-US"/>
                    </w:rPr>
                  </w:pPr>
                  <w:hyperlink r:id="rId41" w:history="1">
                    <w:r w:rsidRPr="009E52FF">
                      <w:rPr>
                        <w:rStyle w:val="Hyperlink"/>
                        <w:sz w:val="20"/>
                        <w:szCs w:val="20"/>
                        <w:lang w:val="en-US"/>
                      </w:rPr>
                      <w:t>Cyber resilience stress testing from a macroprudential perspective</w:t>
                    </w:r>
                  </w:hyperlink>
                  <w:r w:rsidRPr="009E52FF">
                    <w:rPr>
                      <w:sz w:val="20"/>
                      <w:szCs w:val="20"/>
                      <w:lang w:val="en-US"/>
                    </w:rPr>
                    <w:br/>
                    <w:t xml:space="preserve">Robert Vermeulen, Matthias Sydow, Claire Brousse, Fernando </w:t>
                  </w:r>
                  <w:proofErr w:type="spellStart"/>
                  <w:r w:rsidRPr="009E52FF">
                    <w:rPr>
                      <w:sz w:val="20"/>
                      <w:szCs w:val="20"/>
                      <w:lang w:val="en-US"/>
                    </w:rPr>
                    <w:t>Cascão</w:t>
                  </w:r>
                  <w:proofErr w:type="spellEnd"/>
                  <w:r w:rsidRPr="009E52FF">
                    <w:rPr>
                      <w:sz w:val="20"/>
                      <w:szCs w:val="20"/>
                      <w:lang w:val="en-US"/>
                    </w:rPr>
                    <w:t xml:space="preserve">, Jose Fique, Carla Marques, Juho Nyholm, </w:t>
                  </w:r>
                  <w:proofErr w:type="spellStart"/>
                  <w:r w:rsidRPr="009E52FF">
                    <w:rPr>
                      <w:sz w:val="20"/>
                      <w:szCs w:val="20"/>
                      <w:lang w:val="en-US"/>
                    </w:rPr>
                    <w:t>Fleurilys</w:t>
                  </w:r>
                  <w:proofErr w:type="spellEnd"/>
                  <w:r w:rsidRPr="009E52FF">
                    <w:rPr>
                      <w:sz w:val="20"/>
                      <w:szCs w:val="20"/>
                      <w:lang w:val="en-US"/>
                    </w:rPr>
                    <w:t xml:space="preserve"> Virel</w:t>
                  </w:r>
                </w:p>
                <w:p w14:paraId="0C5AB326" w14:textId="77777777" w:rsidR="001F1BC4" w:rsidRPr="009E52FF" w:rsidRDefault="001F1BC4" w:rsidP="001F1BC4">
                  <w:pPr>
                    <w:spacing w:line="276" w:lineRule="auto"/>
                    <w:rPr>
                      <w:sz w:val="20"/>
                      <w:szCs w:val="20"/>
                    </w:rPr>
                  </w:pPr>
                  <w:r w:rsidRPr="009E52FF">
                    <w:rPr>
                      <w:sz w:val="20"/>
                      <w:szCs w:val="20"/>
                    </w:rPr>
                    <w:t xml:space="preserve">ECB </w:t>
                  </w:r>
                  <w:proofErr w:type="spellStart"/>
                  <w:r w:rsidRPr="009E52FF">
                    <w:rPr>
                      <w:sz w:val="20"/>
                      <w:szCs w:val="20"/>
                    </w:rPr>
                    <w:t>Macroprudential</w:t>
                  </w:r>
                  <w:proofErr w:type="spellEnd"/>
                  <w:r w:rsidRPr="009E52FF">
                    <w:rPr>
                      <w:sz w:val="20"/>
                      <w:szCs w:val="20"/>
                    </w:rPr>
                    <w:t xml:space="preserve"> Bulletin</w:t>
                  </w:r>
                </w:p>
                <w:p w14:paraId="0E976F35" w14:textId="77777777" w:rsidR="001F1BC4" w:rsidRPr="009E52FF" w:rsidRDefault="001F1BC4" w:rsidP="001F1BC4">
                  <w:pPr>
                    <w:spacing w:line="276" w:lineRule="auto"/>
                    <w:rPr>
                      <w:sz w:val="20"/>
                      <w:szCs w:val="20"/>
                    </w:rPr>
                  </w:pPr>
                </w:p>
                <w:p w14:paraId="6291F2C8" w14:textId="77777777" w:rsidR="001F1BC4" w:rsidRPr="009E52FF" w:rsidRDefault="001F1BC4" w:rsidP="001F1BC4">
                  <w:pPr>
                    <w:spacing w:line="276" w:lineRule="auto"/>
                    <w:rPr>
                      <w:rStyle w:val="Hyperlink"/>
                      <w:sz w:val="20"/>
                      <w:szCs w:val="20"/>
                    </w:rPr>
                  </w:pPr>
                  <w:hyperlink r:id="rId42" w:tooltip="Originele URL: https://esb.nu/toekomst-energie-intensieve-industrie-vergt-europese-coordinatie/. Klik of tik als u deze koppeling vertrouwt." w:history="1">
                    <w:r w:rsidRPr="009E52FF">
                      <w:rPr>
                        <w:rStyle w:val="Hyperlink"/>
                        <w:sz w:val="20"/>
                        <w:szCs w:val="20"/>
                      </w:rPr>
                      <w:t>Toekomst energie-intensieve industrie vergt Europese coördinatie - ESB</w:t>
                    </w:r>
                  </w:hyperlink>
                </w:p>
                <w:p w14:paraId="141BDB25" w14:textId="77777777" w:rsidR="001F1BC4" w:rsidRPr="00380829" w:rsidRDefault="001F1BC4" w:rsidP="001F1BC4">
                  <w:pPr>
                    <w:spacing w:line="276" w:lineRule="auto"/>
                    <w:rPr>
                      <w:sz w:val="20"/>
                      <w:szCs w:val="20"/>
                    </w:rPr>
                  </w:pPr>
                  <w:r w:rsidRPr="00380829">
                    <w:rPr>
                      <w:sz w:val="20"/>
                      <w:szCs w:val="20"/>
                    </w:rPr>
                    <w:t xml:space="preserve">Stefan Wöhrmüller, Andra </w:t>
                  </w:r>
                  <w:proofErr w:type="spellStart"/>
                  <w:r w:rsidRPr="00380829">
                    <w:rPr>
                      <w:sz w:val="20"/>
                      <w:szCs w:val="20"/>
                    </w:rPr>
                    <w:t>Smädu</w:t>
                  </w:r>
                  <w:proofErr w:type="spellEnd"/>
                  <w:r w:rsidRPr="00380829">
                    <w:rPr>
                      <w:sz w:val="20"/>
                      <w:szCs w:val="20"/>
                    </w:rPr>
                    <w:t xml:space="preserve">, Guido Schotten, Bas Heerma van </w:t>
                  </w:r>
                  <w:proofErr w:type="spellStart"/>
                  <w:r w:rsidRPr="00380829">
                    <w:rPr>
                      <w:sz w:val="20"/>
                      <w:szCs w:val="20"/>
                    </w:rPr>
                    <w:t>voss</w:t>
                  </w:r>
                  <w:proofErr w:type="spellEnd"/>
                </w:p>
                <w:p w14:paraId="7DD4EAC2" w14:textId="77777777" w:rsidR="00357A33" w:rsidRPr="00380829" w:rsidRDefault="00357A33" w:rsidP="001F1BC4">
                  <w:pPr>
                    <w:spacing w:line="276" w:lineRule="auto"/>
                    <w:rPr>
                      <w:sz w:val="20"/>
                      <w:szCs w:val="20"/>
                    </w:rPr>
                  </w:pPr>
                </w:p>
                <w:p w14:paraId="2E7747E2" w14:textId="77777777" w:rsidR="00357A33" w:rsidRDefault="00357A33" w:rsidP="00357A33">
                  <w:pPr>
                    <w:spacing w:line="276" w:lineRule="auto"/>
                    <w:rPr>
                      <w:sz w:val="20"/>
                      <w:szCs w:val="20"/>
                    </w:rPr>
                  </w:pPr>
                  <w:hyperlink r:id="rId43" w:history="1">
                    <w:r w:rsidRPr="00357A33">
                      <w:rPr>
                        <w:rStyle w:val="Hyperlink"/>
                        <w:sz w:val="20"/>
                        <w:szCs w:val="20"/>
                      </w:rPr>
                      <w:t>Effect CO₂-</w:t>
                    </w:r>
                    <w:proofErr w:type="spellStart"/>
                    <w:r w:rsidRPr="00357A33">
                      <w:rPr>
                        <w:rStyle w:val="Hyperlink"/>
                        <w:sz w:val="20"/>
                        <w:szCs w:val="20"/>
                      </w:rPr>
                      <w:t>beprijzing</w:t>
                    </w:r>
                    <w:proofErr w:type="spellEnd"/>
                    <w:r w:rsidRPr="00357A33">
                      <w:rPr>
                        <w:rStyle w:val="Hyperlink"/>
                        <w:sz w:val="20"/>
                        <w:szCs w:val="20"/>
                      </w:rPr>
                      <w:t xml:space="preserve"> verschilt sterk tussen industriële bedrijven</w:t>
                    </w:r>
                  </w:hyperlink>
                </w:p>
                <w:p w14:paraId="471CCB59" w14:textId="5269588F" w:rsidR="00F542AD" w:rsidRPr="009E52FF" w:rsidRDefault="00F542AD" w:rsidP="00357A33">
                  <w:pPr>
                    <w:spacing w:line="276" w:lineRule="auto"/>
                    <w:rPr>
                      <w:sz w:val="20"/>
                      <w:szCs w:val="20"/>
                    </w:rPr>
                  </w:pPr>
                  <w:r w:rsidRPr="009E52FF">
                    <w:rPr>
                      <w:sz w:val="20"/>
                      <w:szCs w:val="20"/>
                    </w:rPr>
                    <w:t>Laura Lehtonen, Bas Heerma van Voss, Mignon Kroon, Guido Schotten</w:t>
                  </w:r>
                </w:p>
                <w:p w14:paraId="7DBA31B4" w14:textId="6585D56B" w:rsidR="00357A33" w:rsidRPr="009E52FF" w:rsidRDefault="00357A33" w:rsidP="00357A33">
                  <w:pPr>
                    <w:jc w:val="both"/>
                    <w:rPr>
                      <w:bCs/>
                      <w:color w:val="1226AA"/>
                      <w:sz w:val="20"/>
                      <w:szCs w:val="20"/>
                      <w:lang w:val="en-US"/>
                    </w:rPr>
                  </w:pPr>
                  <w:hyperlink w:anchor="R1top" w:history="1">
                    <w:r w:rsidRPr="009E52FF">
                      <w:rPr>
                        <w:rStyle w:val="Hyperlink"/>
                        <w:bCs/>
                        <w:sz w:val="20"/>
                        <w:szCs w:val="20"/>
                        <w:lang w:val="en-US"/>
                      </w:rPr>
                      <w:t xml:space="preserve">Go to the </w:t>
                    </w:r>
                    <w:r w:rsidR="000224E1">
                      <w:rPr>
                        <w:rStyle w:val="Hyperlink"/>
                        <w:bCs/>
                        <w:sz w:val="20"/>
                        <w:szCs w:val="20"/>
                        <w:lang w:val="en-US"/>
                      </w:rPr>
                      <w:t>t</w:t>
                    </w:r>
                    <w:r w:rsidRPr="009E52FF">
                      <w:rPr>
                        <w:rStyle w:val="Hyperlink"/>
                        <w:bCs/>
                        <w:sz w:val="20"/>
                        <w:szCs w:val="20"/>
                        <w:lang w:val="en-US"/>
                      </w:rPr>
                      <w:t>op</w:t>
                    </w:r>
                  </w:hyperlink>
                </w:p>
                <w:p w14:paraId="6D22AE9C" w14:textId="77777777" w:rsidR="00357A33" w:rsidRPr="009E52FF" w:rsidRDefault="00357A33" w:rsidP="005A582B">
                  <w:pPr>
                    <w:jc w:val="both"/>
                    <w:rPr>
                      <w:sz w:val="20"/>
                      <w:szCs w:val="20"/>
                      <w:lang w:val="en-US"/>
                    </w:rPr>
                  </w:pPr>
                </w:p>
                <w:tbl>
                  <w:tblPr>
                    <w:tblW w:w="5000" w:type="pct"/>
                    <w:shd w:val="clear" w:color="auto" w:fill="1226AA"/>
                    <w:tblCellMar>
                      <w:left w:w="0" w:type="dxa"/>
                      <w:right w:w="0" w:type="dxa"/>
                    </w:tblCellMar>
                    <w:tblLook w:val="04A0" w:firstRow="1" w:lastRow="0" w:firstColumn="1" w:lastColumn="0" w:noHBand="0" w:noVBand="1"/>
                  </w:tblPr>
                  <w:tblGrid>
                    <w:gridCol w:w="7722"/>
                  </w:tblGrid>
                  <w:tr w:rsidR="00F75762" w:rsidRPr="00C40F2C" w14:paraId="34C8A953" w14:textId="77777777" w:rsidTr="00F84EB3">
                    <w:trPr>
                      <w:trHeight w:val="340"/>
                    </w:trPr>
                    <w:tc>
                      <w:tcPr>
                        <w:tcW w:w="5000" w:type="pct"/>
                        <w:shd w:val="clear" w:color="auto" w:fill="1226AA"/>
                        <w:tcMar>
                          <w:top w:w="57" w:type="dxa"/>
                          <w:left w:w="170" w:type="dxa"/>
                          <w:bottom w:w="57" w:type="dxa"/>
                        </w:tcMar>
                      </w:tcPr>
                      <w:p w14:paraId="699FDC05" w14:textId="77777777" w:rsidR="00F75762" w:rsidRPr="009E52FF" w:rsidRDefault="00F75762" w:rsidP="00F84EB3">
                        <w:pPr>
                          <w:spacing w:line="240" w:lineRule="auto"/>
                          <w:rPr>
                            <w:color w:val="FFFFFF" w:themeColor="background1"/>
                            <w:sz w:val="20"/>
                            <w:szCs w:val="20"/>
                            <w:lang w:val="en-US"/>
                          </w:rPr>
                        </w:pPr>
                        <w:r w:rsidRPr="009E52FF">
                          <w:rPr>
                            <w:color w:val="FEFEFE"/>
                            <w:sz w:val="20"/>
                            <w:szCs w:val="20"/>
                            <w:lang w:val="en-US"/>
                          </w:rPr>
                          <w:t>Events</w:t>
                        </w:r>
                      </w:p>
                    </w:tc>
                  </w:tr>
                </w:tbl>
                <w:p w14:paraId="11149226" w14:textId="77777777" w:rsidR="00F75762" w:rsidRPr="009E52FF" w:rsidRDefault="00F75762" w:rsidP="00F84EB3">
                  <w:pPr>
                    <w:rPr>
                      <w:color w:val="1226AA"/>
                      <w:sz w:val="20"/>
                      <w:szCs w:val="20"/>
                      <w:lang w:val="en-US"/>
                    </w:rPr>
                  </w:pPr>
                  <w:r w:rsidRPr="009E52FF">
                    <w:rPr>
                      <w:b/>
                      <w:color w:val="1226AA"/>
                      <w:sz w:val="20"/>
                      <w:szCs w:val="20"/>
                      <w:lang w:val="en-US"/>
                    </w:rPr>
                    <w:t>Research seminars</w:t>
                  </w:r>
                </w:p>
                <w:p w14:paraId="5D3769BC" w14:textId="77777777" w:rsidR="00F75762" w:rsidRPr="009E52FF" w:rsidRDefault="00F75762" w:rsidP="00F84EB3">
                  <w:pPr>
                    <w:rPr>
                      <w:b/>
                      <w:color w:val="1226AA"/>
                      <w:sz w:val="20"/>
                      <w:szCs w:val="20"/>
                      <w:lang w:val="en-US"/>
                    </w:rPr>
                  </w:pPr>
                  <w:r w:rsidRPr="009E52FF">
                    <w:rPr>
                      <w:b/>
                      <w:color w:val="1226AA"/>
                      <w:sz w:val="20"/>
                      <w:szCs w:val="20"/>
                      <w:lang w:val="en-US"/>
                    </w:rPr>
                    <w:t>Past</w:t>
                  </w:r>
                </w:p>
                <w:p w14:paraId="0DA28229" w14:textId="09B28B99" w:rsidR="00E94A77" w:rsidRPr="009E52FF" w:rsidRDefault="00E94A77" w:rsidP="00E94A77">
                  <w:pPr>
                    <w:rPr>
                      <w:bCs/>
                      <w:color w:val="1226AA"/>
                      <w:sz w:val="20"/>
                      <w:szCs w:val="20"/>
                      <w:lang w:val="en-US"/>
                    </w:rPr>
                  </w:pPr>
                  <w:r w:rsidRPr="009E52FF">
                    <w:rPr>
                      <w:b/>
                      <w:color w:val="1226AA"/>
                      <w:sz w:val="20"/>
                      <w:szCs w:val="20"/>
                      <w:lang w:val="en-US"/>
                    </w:rPr>
                    <w:t xml:space="preserve">20 Feb 2025: </w:t>
                  </w:r>
                  <w:r w:rsidR="00DA543C" w:rsidRPr="009E52FF">
                    <w:rPr>
                      <w:bCs/>
                      <w:color w:val="1226AA"/>
                      <w:sz w:val="20"/>
                      <w:szCs w:val="20"/>
                      <w:lang w:val="en-US"/>
                    </w:rPr>
                    <w:t>The impact of climate policy on carbon emission</w:t>
                  </w:r>
                </w:p>
                <w:p w14:paraId="2E681E83" w14:textId="77777777" w:rsidR="00E94A77" w:rsidRPr="009E52FF" w:rsidRDefault="00E94A77" w:rsidP="00E94A77">
                  <w:pPr>
                    <w:rPr>
                      <w:bCs/>
                      <w:color w:val="1226AA"/>
                      <w:sz w:val="20"/>
                      <w:szCs w:val="20"/>
                      <w:lang w:val="en-US"/>
                    </w:rPr>
                  </w:pPr>
                  <w:r w:rsidRPr="009E52FF">
                    <w:rPr>
                      <w:bCs/>
                      <w:color w:val="1226AA"/>
                      <w:sz w:val="20"/>
                      <w:szCs w:val="20"/>
                      <w:lang w:val="en-US"/>
                    </w:rPr>
                    <w:t>Sam Fankhauser (University of Oxford)</w:t>
                  </w:r>
                </w:p>
                <w:p w14:paraId="6B67433B" w14:textId="07745141" w:rsidR="00E94A77" w:rsidRPr="009E52FF" w:rsidRDefault="00E94A77" w:rsidP="00E94A77">
                  <w:pPr>
                    <w:rPr>
                      <w:bCs/>
                      <w:color w:val="1226AA"/>
                      <w:sz w:val="20"/>
                      <w:szCs w:val="20"/>
                      <w:lang w:val="en-US"/>
                    </w:rPr>
                  </w:pPr>
                  <w:r w:rsidRPr="009E52FF">
                    <w:rPr>
                      <w:b/>
                      <w:color w:val="1226AA"/>
                      <w:sz w:val="20"/>
                      <w:szCs w:val="20"/>
                      <w:lang w:val="en-US"/>
                    </w:rPr>
                    <w:t xml:space="preserve">06 Mar 2025: </w:t>
                  </w:r>
                  <w:r w:rsidR="00DA543C" w:rsidRPr="009E52FF">
                    <w:rPr>
                      <w:bCs/>
                      <w:color w:val="1226AA"/>
                      <w:sz w:val="20"/>
                      <w:szCs w:val="20"/>
                      <w:lang w:val="en-US"/>
                    </w:rPr>
                    <w:t>Time-Varying Identification of Structural Vector Autoregressions</w:t>
                  </w:r>
                </w:p>
                <w:p w14:paraId="738B1EC0" w14:textId="77777777" w:rsidR="00E94A77" w:rsidRPr="009E52FF" w:rsidRDefault="00E94A77" w:rsidP="00E94A77">
                  <w:pPr>
                    <w:rPr>
                      <w:bCs/>
                      <w:color w:val="1226AA"/>
                      <w:sz w:val="20"/>
                      <w:szCs w:val="20"/>
                      <w:lang w:val="en-US"/>
                    </w:rPr>
                  </w:pPr>
                  <w:r w:rsidRPr="009E52FF">
                    <w:rPr>
                      <w:bCs/>
                      <w:color w:val="1226AA"/>
                      <w:sz w:val="20"/>
                      <w:szCs w:val="20"/>
                      <w:lang w:val="en-US"/>
                    </w:rPr>
                    <w:t xml:space="preserve">Annika </w:t>
                  </w:r>
                  <w:proofErr w:type="spellStart"/>
                  <w:r w:rsidRPr="009E52FF">
                    <w:rPr>
                      <w:bCs/>
                      <w:color w:val="1226AA"/>
                      <w:sz w:val="20"/>
                      <w:szCs w:val="20"/>
                      <w:lang w:val="en-US"/>
                    </w:rPr>
                    <w:t>Camehl</w:t>
                  </w:r>
                  <w:proofErr w:type="spellEnd"/>
                  <w:r w:rsidRPr="009E52FF">
                    <w:rPr>
                      <w:bCs/>
                      <w:color w:val="1226AA"/>
                      <w:sz w:val="20"/>
                      <w:szCs w:val="20"/>
                      <w:lang w:val="en-US"/>
                    </w:rPr>
                    <w:t xml:space="preserve"> (Erasmus University Rotterdam)</w:t>
                  </w:r>
                </w:p>
                <w:p w14:paraId="3B279061" w14:textId="01C049B3" w:rsidR="00E94A77" w:rsidRPr="009E52FF" w:rsidRDefault="00E94A77" w:rsidP="00E94A77">
                  <w:pPr>
                    <w:rPr>
                      <w:bCs/>
                      <w:color w:val="1226AA"/>
                      <w:sz w:val="20"/>
                      <w:szCs w:val="20"/>
                      <w:lang w:val="en-US"/>
                    </w:rPr>
                  </w:pPr>
                  <w:r w:rsidRPr="009E52FF">
                    <w:rPr>
                      <w:b/>
                      <w:color w:val="1226AA"/>
                      <w:sz w:val="20"/>
                      <w:szCs w:val="20"/>
                      <w:lang w:val="en-US"/>
                    </w:rPr>
                    <w:t xml:space="preserve">27 Mar 2025: </w:t>
                  </w:r>
                  <w:r w:rsidR="00BC7DC6" w:rsidRPr="009E52FF">
                    <w:rPr>
                      <w:bCs/>
                      <w:color w:val="1226AA"/>
                      <w:sz w:val="20"/>
                      <w:szCs w:val="20"/>
                      <w:lang w:val="en-US"/>
                    </w:rPr>
                    <w:t xml:space="preserve">How Do </w:t>
                  </w:r>
                  <w:proofErr w:type="spellStart"/>
                  <w:r w:rsidR="00BC7DC6" w:rsidRPr="009E52FF">
                    <w:rPr>
                      <w:bCs/>
                      <w:color w:val="1226AA"/>
                      <w:sz w:val="20"/>
                      <w:szCs w:val="20"/>
                      <w:lang w:val="en-US"/>
                    </w:rPr>
                    <w:t>Quantative</w:t>
                  </w:r>
                  <w:proofErr w:type="spellEnd"/>
                  <w:r w:rsidR="00BC7DC6" w:rsidRPr="009E52FF">
                    <w:rPr>
                      <w:bCs/>
                      <w:color w:val="1226AA"/>
                      <w:sz w:val="20"/>
                      <w:szCs w:val="20"/>
                      <w:lang w:val="en-US"/>
                    </w:rPr>
                    <w:t xml:space="preserve"> Easing and Tightening Affect Firms?</w:t>
                  </w:r>
                </w:p>
                <w:p w14:paraId="540638B2" w14:textId="780A53C8" w:rsidR="00BC7DC6" w:rsidRPr="009E52FF" w:rsidRDefault="00BC7DC6" w:rsidP="00E94A77">
                  <w:pPr>
                    <w:rPr>
                      <w:bCs/>
                      <w:color w:val="1226AA"/>
                      <w:sz w:val="20"/>
                      <w:szCs w:val="20"/>
                      <w:lang w:val="en-US"/>
                    </w:rPr>
                  </w:pPr>
                  <w:r w:rsidRPr="009E52FF">
                    <w:rPr>
                      <w:bCs/>
                      <w:color w:val="1226AA"/>
                      <w:sz w:val="20"/>
                      <w:szCs w:val="20"/>
                      <w:lang w:val="en-US"/>
                    </w:rPr>
                    <w:t>Egemen Eren (Bank of International Settlements)</w:t>
                  </w:r>
                </w:p>
                <w:p w14:paraId="1BC45B90" w14:textId="518A7872" w:rsidR="00E94A77" w:rsidRPr="009E52FF" w:rsidRDefault="00E94A77" w:rsidP="00E94A77">
                  <w:pPr>
                    <w:rPr>
                      <w:b/>
                      <w:color w:val="1226AA"/>
                      <w:sz w:val="20"/>
                      <w:szCs w:val="20"/>
                      <w:lang w:val="en-US"/>
                    </w:rPr>
                  </w:pPr>
                  <w:r w:rsidRPr="009E52FF">
                    <w:rPr>
                      <w:b/>
                      <w:color w:val="1226AA"/>
                      <w:sz w:val="20"/>
                      <w:szCs w:val="20"/>
                      <w:lang w:val="en-US"/>
                    </w:rPr>
                    <w:t xml:space="preserve">03 Apr 2025: </w:t>
                  </w:r>
                  <w:r w:rsidR="00BC7DC6" w:rsidRPr="009E52FF">
                    <w:rPr>
                      <w:bCs/>
                      <w:color w:val="1226AA"/>
                      <w:sz w:val="20"/>
                      <w:szCs w:val="20"/>
                      <w:lang w:val="en-US"/>
                    </w:rPr>
                    <w:t>Public information and stablecoin runs</w:t>
                  </w:r>
                </w:p>
                <w:p w14:paraId="56F956CA" w14:textId="77777777" w:rsidR="00E94A77" w:rsidRPr="009E52FF" w:rsidRDefault="00E94A77" w:rsidP="00E94A77">
                  <w:pPr>
                    <w:rPr>
                      <w:bCs/>
                      <w:color w:val="1226AA"/>
                      <w:sz w:val="20"/>
                      <w:szCs w:val="20"/>
                      <w:lang w:val="en-US"/>
                    </w:rPr>
                  </w:pPr>
                  <w:r w:rsidRPr="009E52FF">
                    <w:rPr>
                      <w:bCs/>
                      <w:color w:val="1226AA"/>
                      <w:sz w:val="20"/>
                      <w:szCs w:val="20"/>
                      <w:lang w:val="en-US"/>
                    </w:rPr>
                    <w:t xml:space="preserve">Inaki </w:t>
                  </w:r>
                  <w:proofErr w:type="spellStart"/>
                  <w:r w:rsidRPr="009E52FF">
                    <w:rPr>
                      <w:bCs/>
                      <w:color w:val="1226AA"/>
                      <w:sz w:val="20"/>
                      <w:szCs w:val="20"/>
                      <w:lang w:val="en-US"/>
                    </w:rPr>
                    <w:t>Aldasoro</w:t>
                  </w:r>
                  <w:proofErr w:type="spellEnd"/>
                  <w:r w:rsidRPr="009E52FF">
                    <w:rPr>
                      <w:bCs/>
                      <w:color w:val="1226AA"/>
                      <w:sz w:val="20"/>
                      <w:szCs w:val="20"/>
                      <w:lang w:val="en-US"/>
                    </w:rPr>
                    <w:t xml:space="preserve"> (Bank of International Settlements)</w:t>
                  </w:r>
                </w:p>
                <w:p w14:paraId="5557BD8B" w14:textId="0CA111FD" w:rsidR="00E94A77" w:rsidRPr="009E52FF" w:rsidRDefault="00E94A77" w:rsidP="00E94A77">
                  <w:pPr>
                    <w:rPr>
                      <w:bCs/>
                      <w:color w:val="1226AA"/>
                      <w:sz w:val="20"/>
                      <w:szCs w:val="20"/>
                      <w:lang w:val="en-US"/>
                    </w:rPr>
                  </w:pPr>
                  <w:r w:rsidRPr="009E52FF">
                    <w:rPr>
                      <w:b/>
                      <w:color w:val="1226AA"/>
                      <w:sz w:val="20"/>
                      <w:szCs w:val="20"/>
                      <w:lang w:val="en-US"/>
                    </w:rPr>
                    <w:t xml:space="preserve">17 Apr 2025: </w:t>
                  </w:r>
                  <w:r w:rsidR="00BC7DC6" w:rsidRPr="009E52FF">
                    <w:rPr>
                      <w:bCs/>
                      <w:color w:val="1226AA"/>
                      <w:sz w:val="20"/>
                      <w:szCs w:val="20"/>
                      <w:lang w:val="en-US"/>
                    </w:rPr>
                    <w:t>Optimal Stabilization Policies in the Wake of Large Shocks</w:t>
                  </w:r>
                </w:p>
                <w:p w14:paraId="5016A905" w14:textId="220F6F9D" w:rsidR="00F75762" w:rsidRPr="009E52FF" w:rsidRDefault="00E94A77" w:rsidP="00E94A77">
                  <w:pPr>
                    <w:rPr>
                      <w:bCs/>
                      <w:color w:val="1226AA"/>
                      <w:sz w:val="20"/>
                      <w:szCs w:val="20"/>
                      <w:lang w:val="en-US"/>
                    </w:rPr>
                  </w:pPr>
                  <w:r w:rsidRPr="009E52FF">
                    <w:rPr>
                      <w:bCs/>
                      <w:color w:val="1226AA"/>
                      <w:sz w:val="20"/>
                      <w:szCs w:val="20"/>
                      <w:lang w:val="en-US"/>
                    </w:rPr>
                    <w:t>Andrea Ferrero (University of Oxford)</w:t>
                  </w:r>
                </w:p>
                <w:p w14:paraId="055F6C27" w14:textId="77777777" w:rsidR="00BC7DC6" w:rsidRPr="009E52FF" w:rsidRDefault="00BC7DC6" w:rsidP="00E94A77">
                  <w:pPr>
                    <w:rPr>
                      <w:b/>
                      <w:color w:val="1226AA"/>
                      <w:sz w:val="20"/>
                      <w:szCs w:val="20"/>
                      <w:lang w:val="en-US"/>
                    </w:rPr>
                  </w:pPr>
                </w:p>
                <w:p w14:paraId="5E773D2E" w14:textId="74D7B67B" w:rsidR="00D308C7" w:rsidRPr="009E52FF" w:rsidRDefault="00F75762" w:rsidP="00F542AD">
                  <w:pPr>
                    <w:rPr>
                      <w:bCs/>
                      <w:color w:val="1226AA"/>
                      <w:sz w:val="20"/>
                      <w:szCs w:val="20"/>
                      <w:lang w:val="en-US"/>
                    </w:rPr>
                  </w:pPr>
                  <w:r w:rsidRPr="009E52FF">
                    <w:rPr>
                      <w:b/>
                      <w:color w:val="1226AA"/>
                      <w:sz w:val="20"/>
                      <w:szCs w:val="20"/>
                      <w:lang w:val="en-US"/>
                    </w:rPr>
                    <w:t>Forthcoming</w:t>
                  </w:r>
                  <w:r w:rsidRPr="009E52FF">
                    <w:rPr>
                      <w:color w:val="1226AA"/>
                      <w:sz w:val="20"/>
                      <w:szCs w:val="20"/>
                      <w:lang w:val="en-US"/>
                    </w:rPr>
                    <w:t xml:space="preserve"> </w:t>
                  </w:r>
                </w:p>
                <w:p w14:paraId="35688C29" w14:textId="213784B5" w:rsidR="00D308C7" w:rsidRPr="009E52FF" w:rsidRDefault="00D308C7" w:rsidP="00CD57C0">
                  <w:pPr>
                    <w:rPr>
                      <w:b/>
                      <w:color w:val="1226AA"/>
                      <w:sz w:val="20"/>
                      <w:szCs w:val="20"/>
                      <w:lang w:val="en-US"/>
                    </w:rPr>
                  </w:pPr>
                  <w:r w:rsidRPr="009E52FF">
                    <w:rPr>
                      <w:b/>
                      <w:color w:val="1226AA"/>
                      <w:sz w:val="20"/>
                      <w:szCs w:val="20"/>
                      <w:lang w:val="en-US"/>
                    </w:rPr>
                    <w:t xml:space="preserve">08 May 2025: </w:t>
                  </w:r>
                  <w:r w:rsidR="006E0AEE" w:rsidRPr="009E52FF">
                    <w:rPr>
                      <w:bCs/>
                      <w:color w:val="1226AA"/>
                      <w:sz w:val="20"/>
                      <w:szCs w:val="20"/>
                      <w:lang w:val="en-US"/>
                    </w:rPr>
                    <w:t>Inference Based on Time-Varying SVARs Identified with Sign Restrictions</w:t>
                  </w:r>
                </w:p>
                <w:p w14:paraId="29CDDBD0" w14:textId="6F9EDF18" w:rsidR="00D308C7" w:rsidRPr="009E52FF" w:rsidRDefault="00D308C7" w:rsidP="00CD57C0">
                  <w:pPr>
                    <w:rPr>
                      <w:bCs/>
                      <w:color w:val="1226AA"/>
                      <w:sz w:val="20"/>
                      <w:szCs w:val="20"/>
                      <w:lang w:val="en-US"/>
                    </w:rPr>
                  </w:pPr>
                  <w:r w:rsidRPr="009E52FF">
                    <w:rPr>
                      <w:bCs/>
                      <w:color w:val="1226AA"/>
                      <w:sz w:val="20"/>
                      <w:szCs w:val="20"/>
                      <w:lang w:val="en-US"/>
                    </w:rPr>
                    <w:t>Jonas Arias (Federal Reserve Bank of Philadelphia)</w:t>
                  </w:r>
                </w:p>
                <w:p w14:paraId="1AD86CD3" w14:textId="13B8B063" w:rsidR="00DF54A0" w:rsidRPr="009E52FF" w:rsidRDefault="00DF54A0" w:rsidP="00CD57C0">
                  <w:pPr>
                    <w:rPr>
                      <w:bCs/>
                      <w:color w:val="1226AA"/>
                      <w:sz w:val="20"/>
                      <w:szCs w:val="20"/>
                      <w:lang w:val="en-US"/>
                    </w:rPr>
                  </w:pPr>
                  <w:r w:rsidRPr="009E52FF">
                    <w:rPr>
                      <w:b/>
                      <w:color w:val="1226AA"/>
                      <w:sz w:val="20"/>
                      <w:szCs w:val="20"/>
                      <w:lang w:val="en-US"/>
                    </w:rPr>
                    <w:t xml:space="preserve">12 May 2025: </w:t>
                  </w:r>
                  <w:r w:rsidRPr="009E52FF">
                    <w:rPr>
                      <w:bCs/>
                      <w:color w:val="1226AA"/>
                      <w:sz w:val="20"/>
                      <w:szCs w:val="20"/>
                      <w:lang w:val="en-US"/>
                    </w:rPr>
                    <w:t>Monetary policy with noisy money markets: to trust or control?</w:t>
                  </w:r>
                </w:p>
                <w:p w14:paraId="30B4523B" w14:textId="123D680B" w:rsidR="00DF54A0" w:rsidRPr="009E52FF" w:rsidRDefault="00DF54A0" w:rsidP="00CD57C0">
                  <w:pPr>
                    <w:rPr>
                      <w:bCs/>
                      <w:color w:val="1226AA"/>
                      <w:sz w:val="20"/>
                      <w:szCs w:val="20"/>
                      <w:lang w:val="en-US"/>
                    </w:rPr>
                  </w:pPr>
                  <w:r w:rsidRPr="009E52FF">
                    <w:rPr>
                      <w:bCs/>
                      <w:color w:val="1226AA"/>
                      <w:sz w:val="20"/>
                      <w:szCs w:val="20"/>
                      <w:lang w:val="en-US"/>
                    </w:rPr>
                    <w:t xml:space="preserve">Federic </w:t>
                  </w:r>
                  <w:proofErr w:type="spellStart"/>
                  <w:r w:rsidRPr="009E52FF">
                    <w:rPr>
                      <w:bCs/>
                      <w:color w:val="1226AA"/>
                      <w:sz w:val="20"/>
                      <w:szCs w:val="20"/>
                      <w:lang w:val="en-US"/>
                    </w:rPr>
                    <w:t>Holm-Hadulla</w:t>
                  </w:r>
                  <w:proofErr w:type="spellEnd"/>
                  <w:r w:rsidRPr="009E52FF">
                    <w:rPr>
                      <w:bCs/>
                      <w:color w:val="1226AA"/>
                      <w:sz w:val="20"/>
                      <w:szCs w:val="20"/>
                      <w:lang w:val="en-US"/>
                    </w:rPr>
                    <w:t xml:space="preserve"> </w:t>
                  </w:r>
                  <w:r w:rsidR="00C40F2C">
                    <w:rPr>
                      <w:bCs/>
                      <w:color w:val="1226AA"/>
                      <w:sz w:val="20"/>
                      <w:szCs w:val="20"/>
                      <w:lang w:val="en-US"/>
                    </w:rPr>
                    <w:t xml:space="preserve">and </w:t>
                  </w:r>
                  <w:proofErr w:type="spellStart"/>
                  <w:r w:rsidR="00C40F2C">
                    <w:rPr>
                      <w:bCs/>
                      <w:color w:val="1226AA"/>
                      <w:sz w:val="20"/>
                      <w:szCs w:val="20"/>
                      <w:lang w:val="en-US"/>
                    </w:rPr>
                    <w:t>Sebastiaaaan</w:t>
                  </w:r>
                  <w:proofErr w:type="spellEnd"/>
                  <w:r w:rsidR="00C40F2C">
                    <w:rPr>
                      <w:bCs/>
                      <w:color w:val="1226AA"/>
                      <w:sz w:val="20"/>
                      <w:szCs w:val="20"/>
                      <w:lang w:val="en-US"/>
                    </w:rPr>
                    <w:t xml:space="preserve"> Pool </w:t>
                  </w:r>
                  <w:r w:rsidRPr="009E52FF">
                    <w:rPr>
                      <w:bCs/>
                      <w:color w:val="1226AA"/>
                      <w:sz w:val="20"/>
                      <w:szCs w:val="20"/>
                      <w:lang w:val="en-US"/>
                    </w:rPr>
                    <w:t>(ECB)</w:t>
                  </w:r>
                </w:p>
                <w:p w14:paraId="328FA7DE" w14:textId="7EE01B0F" w:rsidR="00D308C7" w:rsidRPr="009E52FF" w:rsidRDefault="00D308C7" w:rsidP="00CD57C0">
                  <w:pPr>
                    <w:rPr>
                      <w:b/>
                      <w:color w:val="1226AA"/>
                      <w:sz w:val="20"/>
                      <w:szCs w:val="20"/>
                      <w:lang w:val="en-US"/>
                    </w:rPr>
                  </w:pPr>
                  <w:r w:rsidRPr="009E52FF">
                    <w:rPr>
                      <w:b/>
                      <w:color w:val="1226AA"/>
                      <w:sz w:val="20"/>
                      <w:szCs w:val="20"/>
                      <w:lang w:val="en-US"/>
                    </w:rPr>
                    <w:lastRenderedPageBreak/>
                    <w:t xml:space="preserve">20 May 2025: </w:t>
                  </w:r>
                  <w:r w:rsidR="00DC6307" w:rsidRPr="00DC6307">
                    <w:rPr>
                      <w:bCs/>
                      <w:color w:val="1226AA"/>
                      <w:sz w:val="20"/>
                      <w:szCs w:val="20"/>
                      <w:lang w:val="en-US"/>
                    </w:rPr>
                    <w:t>Hotelling Meets Keynes: Aggregate Adjustment with Spatial Frictions and Nominal Rigidity</w:t>
                  </w:r>
                </w:p>
                <w:p w14:paraId="7D36704C" w14:textId="2D2EF4CC" w:rsidR="00D308C7" w:rsidRPr="009E52FF" w:rsidRDefault="00D308C7" w:rsidP="00CD57C0">
                  <w:pPr>
                    <w:rPr>
                      <w:bCs/>
                      <w:color w:val="1226AA"/>
                      <w:sz w:val="20"/>
                      <w:szCs w:val="20"/>
                      <w:lang w:val="en-US"/>
                    </w:rPr>
                  </w:pPr>
                  <w:r w:rsidRPr="009E52FF">
                    <w:rPr>
                      <w:bCs/>
                      <w:color w:val="1226AA"/>
                      <w:sz w:val="20"/>
                      <w:szCs w:val="20"/>
                      <w:lang w:val="en-US"/>
                    </w:rPr>
                    <w:t>Stephanie Schmitt-Grohe (Columbia University)</w:t>
                  </w:r>
                </w:p>
                <w:p w14:paraId="46CE2F3C" w14:textId="77777777" w:rsidR="00DC6307" w:rsidRDefault="00D308C7" w:rsidP="00CD57C0">
                  <w:pPr>
                    <w:rPr>
                      <w:bCs/>
                      <w:color w:val="1226AA"/>
                      <w:sz w:val="20"/>
                      <w:szCs w:val="20"/>
                      <w:lang w:val="en-US"/>
                    </w:rPr>
                  </w:pPr>
                  <w:r w:rsidRPr="009E52FF">
                    <w:rPr>
                      <w:b/>
                      <w:color w:val="1226AA"/>
                      <w:sz w:val="20"/>
                      <w:szCs w:val="20"/>
                      <w:lang w:val="en-US"/>
                    </w:rPr>
                    <w:t xml:space="preserve">22 May 2025: </w:t>
                  </w:r>
                  <w:r w:rsidR="00DC6307" w:rsidRPr="00DC6307">
                    <w:rPr>
                      <w:bCs/>
                      <w:color w:val="1226AA"/>
                      <w:sz w:val="20"/>
                      <w:szCs w:val="20"/>
                      <w:lang w:val="en-US"/>
                    </w:rPr>
                    <w:t>Optimal Stabilization Policies in the Wake of Large Shocks</w:t>
                  </w:r>
                </w:p>
                <w:p w14:paraId="1959ABCB" w14:textId="09C0DC40" w:rsidR="00D308C7" w:rsidRPr="009E52FF" w:rsidRDefault="00F542AD" w:rsidP="00CD57C0">
                  <w:pPr>
                    <w:rPr>
                      <w:bCs/>
                      <w:color w:val="1226AA"/>
                      <w:sz w:val="20"/>
                      <w:szCs w:val="20"/>
                      <w:lang w:val="en-US"/>
                    </w:rPr>
                  </w:pPr>
                  <w:r w:rsidRPr="009E52FF">
                    <w:rPr>
                      <w:bCs/>
                      <w:color w:val="1226AA"/>
                      <w:sz w:val="20"/>
                      <w:szCs w:val="20"/>
                      <w:lang w:val="en-US"/>
                    </w:rPr>
                    <w:t xml:space="preserve">Philibert </w:t>
                  </w:r>
                  <w:proofErr w:type="spellStart"/>
                  <w:r w:rsidRPr="009E52FF">
                    <w:rPr>
                      <w:bCs/>
                      <w:color w:val="1226AA"/>
                      <w:sz w:val="20"/>
                      <w:szCs w:val="20"/>
                      <w:lang w:val="en-US"/>
                    </w:rPr>
                    <w:t>Weenink</w:t>
                  </w:r>
                  <w:proofErr w:type="spellEnd"/>
                  <w:r w:rsidRPr="009E52FF">
                    <w:rPr>
                      <w:bCs/>
                      <w:color w:val="1226AA"/>
                      <w:sz w:val="20"/>
                      <w:szCs w:val="20"/>
                      <w:lang w:val="en-US"/>
                    </w:rPr>
                    <w:t xml:space="preserve"> </w:t>
                  </w:r>
                  <w:r w:rsidR="00D308C7" w:rsidRPr="009E52FF">
                    <w:rPr>
                      <w:bCs/>
                      <w:color w:val="1226AA"/>
                      <w:sz w:val="20"/>
                      <w:szCs w:val="20"/>
                      <w:lang w:val="en-US"/>
                    </w:rPr>
                    <w:t>(</w:t>
                  </w:r>
                  <w:r w:rsidRPr="009E52FF">
                    <w:rPr>
                      <w:bCs/>
                      <w:color w:val="1226AA"/>
                      <w:sz w:val="20"/>
                      <w:szCs w:val="20"/>
                      <w:lang w:val="en-US"/>
                    </w:rPr>
                    <w:t>Maastricht University</w:t>
                  </w:r>
                  <w:r w:rsidR="00D308C7" w:rsidRPr="009E52FF">
                    <w:rPr>
                      <w:bCs/>
                      <w:color w:val="1226AA"/>
                      <w:sz w:val="20"/>
                      <w:szCs w:val="20"/>
                      <w:lang w:val="en-US"/>
                    </w:rPr>
                    <w:t>)</w:t>
                  </w:r>
                </w:p>
                <w:p w14:paraId="2545A63D" w14:textId="79562F77" w:rsidR="00DF54A0" w:rsidRPr="009E52FF" w:rsidRDefault="00D308C7" w:rsidP="00CD57C0">
                  <w:pPr>
                    <w:rPr>
                      <w:bCs/>
                      <w:color w:val="1226AA"/>
                      <w:sz w:val="20"/>
                      <w:szCs w:val="20"/>
                      <w:lang w:val="en-US"/>
                    </w:rPr>
                  </w:pPr>
                  <w:r w:rsidRPr="009E52FF">
                    <w:rPr>
                      <w:b/>
                      <w:color w:val="1226AA"/>
                      <w:sz w:val="20"/>
                      <w:szCs w:val="20"/>
                      <w:lang w:val="en-US"/>
                    </w:rPr>
                    <w:t xml:space="preserve">05 Jun 2025: </w:t>
                  </w:r>
                  <w:r w:rsidR="00DF54A0" w:rsidRPr="009E52FF">
                    <w:rPr>
                      <w:bCs/>
                      <w:color w:val="1226AA"/>
                      <w:sz w:val="20"/>
                      <w:szCs w:val="20"/>
                      <w:lang w:val="en-US"/>
                    </w:rPr>
                    <w:t>Negative rates: evidence from transaction data</w:t>
                  </w:r>
                  <w:r w:rsidRPr="009E52FF">
                    <w:rPr>
                      <w:bCs/>
                      <w:color w:val="1226AA"/>
                      <w:sz w:val="20"/>
                      <w:szCs w:val="20"/>
                      <w:lang w:val="en-US"/>
                    </w:rPr>
                    <w:br/>
                  </w:r>
                  <w:r w:rsidR="00DF54A0" w:rsidRPr="009E52FF">
                    <w:rPr>
                      <w:bCs/>
                      <w:color w:val="1226AA"/>
                      <w:sz w:val="20"/>
                      <w:szCs w:val="20"/>
                      <w:lang w:val="en-US"/>
                    </w:rPr>
                    <w:t xml:space="preserve">Rogier </w:t>
                  </w:r>
                  <w:proofErr w:type="spellStart"/>
                  <w:r w:rsidR="00DF54A0" w:rsidRPr="009E52FF">
                    <w:rPr>
                      <w:bCs/>
                      <w:color w:val="1226AA"/>
                      <w:sz w:val="20"/>
                      <w:szCs w:val="20"/>
                      <w:lang w:val="en-US"/>
                    </w:rPr>
                    <w:t>Quaedvlieg</w:t>
                  </w:r>
                  <w:proofErr w:type="spellEnd"/>
                  <w:r w:rsidR="00DF54A0" w:rsidRPr="009E52FF">
                    <w:rPr>
                      <w:bCs/>
                      <w:color w:val="1226AA"/>
                      <w:sz w:val="20"/>
                      <w:szCs w:val="20"/>
                      <w:lang w:val="en-US"/>
                    </w:rPr>
                    <w:t xml:space="preserve"> </w:t>
                  </w:r>
                  <w:r w:rsidRPr="009E52FF">
                    <w:rPr>
                      <w:bCs/>
                      <w:color w:val="1226AA"/>
                      <w:sz w:val="20"/>
                      <w:szCs w:val="20"/>
                      <w:lang w:val="en-US"/>
                    </w:rPr>
                    <w:t>(</w:t>
                  </w:r>
                  <w:r w:rsidR="00DF54A0" w:rsidRPr="009E52FF">
                    <w:rPr>
                      <w:bCs/>
                      <w:color w:val="1226AA"/>
                      <w:sz w:val="20"/>
                      <w:szCs w:val="20"/>
                      <w:lang w:val="en-US"/>
                    </w:rPr>
                    <w:t>ABN AMRO</w:t>
                  </w:r>
                  <w:r w:rsidRPr="009E52FF">
                    <w:rPr>
                      <w:bCs/>
                      <w:color w:val="1226AA"/>
                      <w:sz w:val="20"/>
                      <w:szCs w:val="20"/>
                      <w:lang w:val="en-US"/>
                    </w:rPr>
                    <w:t>)</w:t>
                  </w:r>
                </w:p>
                <w:p w14:paraId="0FF5D6CB" w14:textId="1CC1A00E" w:rsidR="00DF54A0" w:rsidRPr="009E52FF" w:rsidRDefault="00DF54A0" w:rsidP="00CD57C0">
                  <w:pPr>
                    <w:rPr>
                      <w:bCs/>
                      <w:color w:val="1226AA"/>
                      <w:sz w:val="20"/>
                      <w:szCs w:val="20"/>
                      <w:lang w:val="en-US"/>
                    </w:rPr>
                  </w:pPr>
                  <w:r w:rsidRPr="009E52FF">
                    <w:rPr>
                      <w:b/>
                      <w:color w:val="1226AA"/>
                      <w:sz w:val="20"/>
                      <w:szCs w:val="20"/>
                      <w:lang w:val="en-US"/>
                    </w:rPr>
                    <w:t>12 June 2025</w:t>
                  </w:r>
                  <w:r w:rsidRPr="009E52FF">
                    <w:rPr>
                      <w:bCs/>
                      <w:color w:val="1226AA"/>
                      <w:sz w:val="20"/>
                      <w:szCs w:val="20"/>
                      <w:lang w:val="en-US"/>
                    </w:rPr>
                    <w:t>:</w:t>
                  </w:r>
                  <w:r w:rsidRPr="009E52FF">
                    <w:rPr>
                      <w:sz w:val="20"/>
                      <w:szCs w:val="20"/>
                      <w:lang w:val="en-US"/>
                    </w:rPr>
                    <w:t xml:space="preserve"> </w:t>
                  </w:r>
                  <w:r w:rsidRPr="009E52FF">
                    <w:rPr>
                      <w:bCs/>
                      <w:color w:val="1226AA"/>
                      <w:sz w:val="20"/>
                      <w:szCs w:val="20"/>
                      <w:lang w:val="en-US"/>
                    </w:rPr>
                    <w:t>The pass-through of currency risk premia</w:t>
                  </w:r>
                </w:p>
                <w:p w14:paraId="2AA37FBA" w14:textId="5D67C93A" w:rsidR="00DF54A0" w:rsidRPr="009E52FF" w:rsidRDefault="00DF54A0" w:rsidP="00CD57C0">
                  <w:pPr>
                    <w:rPr>
                      <w:bCs/>
                      <w:color w:val="1226AA"/>
                      <w:sz w:val="20"/>
                      <w:szCs w:val="20"/>
                      <w:lang w:val="en-US"/>
                    </w:rPr>
                  </w:pPr>
                  <w:r w:rsidRPr="009E52FF">
                    <w:rPr>
                      <w:bCs/>
                      <w:color w:val="1226AA"/>
                      <w:sz w:val="20"/>
                      <w:szCs w:val="20"/>
                      <w:lang w:val="en-US"/>
                    </w:rPr>
                    <w:t>Paulo Santos Monteiro (University of York)</w:t>
                  </w:r>
                </w:p>
                <w:p w14:paraId="0CED9414" w14:textId="5CD612BE" w:rsidR="00DF54A0" w:rsidRPr="009E52FF" w:rsidRDefault="00DF54A0" w:rsidP="00CD57C0">
                  <w:pPr>
                    <w:rPr>
                      <w:b/>
                      <w:color w:val="1226AA"/>
                      <w:sz w:val="20"/>
                      <w:szCs w:val="20"/>
                      <w:lang w:val="en-US"/>
                    </w:rPr>
                  </w:pPr>
                  <w:r w:rsidRPr="009E52FF">
                    <w:rPr>
                      <w:b/>
                      <w:color w:val="1226AA"/>
                      <w:sz w:val="20"/>
                      <w:szCs w:val="20"/>
                      <w:lang w:val="en-US"/>
                    </w:rPr>
                    <w:t>26 June 2025: TBA</w:t>
                  </w:r>
                </w:p>
                <w:p w14:paraId="3657AAE3" w14:textId="332540FA" w:rsidR="005A582B" w:rsidRPr="009E52FF" w:rsidRDefault="00DF54A0" w:rsidP="00CD57C0">
                  <w:pPr>
                    <w:rPr>
                      <w:bCs/>
                      <w:color w:val="1226AA"/>
                      <w:sz w:val="20"/>
                      <w:szCs w:val="20"/>
                      <w:lang w:val="en-US"/>
                    </w:rPr>
                  </w:pPr>
                  <w:r w:rsidRPr="009E52FF">
                    <w:rPr>
                      <w:bCs/>
                      <w:color w:val="1226AA"/>
                      <w:sz w:val="20"/>
                      <w:szCs w:val="20"/>
                      <w:lang w:val="en-US"/>
                    </w:rPr>
                    <w:t xml:space="preserve">Enrico </w:t>
                  </w:r>
                  <w:proofErr w:type="spellStart"/>
                  <w:r w:rsidRPr="009E52FF">
                    <w:rPr>
                      <w:bCs/>
                      <w:color w:val="1226AA"/>
                      <w:sz w:val="20"/>
                      <w:szCs w:val="20"/>
                      <w:lang w:val="en-US"/>
                    </w:rPr>
                    <w:t>Mallucci</w:t>
                  </w:r>
                  <w:proofErr w:type="spellEnd"/>
                  <w:r w:rsidRPr="009E52FF">
                    <w:rPr>
                      <w:b/>
                      <w:color w:val="1226AA"/>
                      <w:sz w:val="20"/>
                      <w:szCs w:val="20"/>
                      <w:lang w:val="en-US"/>
                    </w:rPr>
                    <w:t xml:space="preserve"> </w:t>
                  </w:r>
                  <w:r w:rsidRPr="009E52FF">
                    <w:rPr>
                      <w:bCs/>
                      <w:color w:val="1226AA"/>
                      <w:sz w:val="20"/>
                      <w:szCs w:val="20"/>
                      <w:lang w:val="en-US"/>
                    </w:rPr>
                    <w:t>(Central Bank of Ireland)</w:t>
                  </w:r>
                  <w:r w:rsidR="00D308C7" w:rsidRPr="009E52FF">
                    <w:rPr>
                      <w:bCs/>
                      <w:color w:val="1226AA"/>
                      <w:sz w:val="20"/>
                      <w:szCs w:val="20"/>
                      <w:lang w:val="en-US"/>
                    </w:rPr>
                    <w:br/>
                  </w:r>
                  <w:r w:rsidR="00D308C7" w:rsidRPr="009E52FF">
                    <w:rPr>
                      <w:b/>
                      <w:color w:val="1226AA"/>
                      <w:sz w:val="20"/>
                      <w:szCs w:val="20"/>
                      <w:lang w:val="en-US"/>
                    </w:rPr>
                    <w:t>03 Jul</w:t>
                  </w:r>
                  <w:r w:rsidR="004F7636" w:rsidRPr="009E52FF">
                    <w:rPr>
                      <w:b/>
                      <w:color w:val="1226AA"/>
                      <w:sz w:val="20"/>
                      <w:szCs w:val="20"/>
                      <w:lang w:val="en-US"/>
                    </w:rPr>
                    <w:t>y</w:t>
                  </w:r>
                  <w:r w:rsidR="00D308C7" w:rsidRPr="009E52FF">
                    <w:rPr>
                      <w:b/>
                      <w:color w:val="1226AA"/>
                      <w:sz w:val="20"/>
                      <w:szCs w:val="20"/>
                      <w:lang w:val="en-US"/>
                    </w:rPr>
                    <w:t xml:space="preserve"> 2025: TBA</w:t>
                  </w:r>
                  <w:r w:rsidR="00D308C7" w:rsidRPr="009E52FF">
                    <w:rPr>
                      <w:bCs/>
                      <w:color w:val="1226AA"/>
                      <w:sz w:val="20"/>
                      <w:szCs w:val="20"/>
                      <w:lang w:val="en-US"/>
                    </w:rPr>
                    <w:br/>
                    <w:t>Federica Romei (University of Oxford)</w:t>
                  </w:r>
                </w:p>
                <w:p w14:paraId="4ECD2951" w14:textId="11F6196A" w:rsidR="004F7636" w:rsidRPr="009E52FF" w:rsidRDefault="004F7636" w:rsidP="00CD57C0">
                  <w:pPr>
                    <w:rPr>
                      <w:b/>
                      <w:color w:val="1226AA"/>
                      <w:sz w:val="20"/>
                      <w:szCs w:val="20"/>
                      <w:lang w:val="en-US"/>
                    </w:rPr>
                  </w:pPr>
                  <w:r w:rsidRPr="009E52FF">
                    <w:rPr>
                      <w:b/>
                      <w:color w:val="1226AA"/>
                      <w:sz w:val="20"/>
                      <w:szCs w:val="20"/>
                      <w:lang w:val="en-US"/>
                    </w:rPr>
                    <w:t>17 July 2025: TBA</w:t>
                  </w:r>
                </w:p>
                <w:p w14:paraId="25138F34" w14:textId="697ECFFB" w:rsidR="004F7636" w:rsidRPr="009E52FF" w:rsidRDefault="004F7636" w:rsidP="00CD57C0">
                  <w:pPr>
                    <w:rPr>
                      <w:bCs/>
                      <w:color w:val="1226AA"/>
                      <w:sz w:val="20"/>
                      <w:szCs w:val="20"/>
                      <w:lang w:val="en-US"/>
                    </w:rPr>
                  </w:pPr>
                  <w:r w:rsidRPr="009E52FF">
                    <w:rPr>
                      <w:bCs/>
                      <w:color w:val="1226AA"/>
                      <w:sz w:val="20"/>
                      <w:szCs w:val="20"/>
                      <w:lang w:val="en-US"/>
                    </w:rPr>
                    <w:t>Alexander Haas (Frankfurt School of Finance)</w:t>
                  </w:r>
                </w:p>
                <w:p w14:paraId="2B270679" w14:textId="7329A339" w:rsidR="005A582B" w:rsidRPr="009E52FF" w:rsidRDefault="005A582B" w:rsidP="001B1CCE">
                  <w:pPr>
                    <w:jc w:val="both"/>
                    <w:rPr>
                      <w:color w:val="1226AA"/>
                      <w:sz w:val="20"/>
                      <w:szCs w:val="20"/>
                      <w:lang w:val="en-US"/>
                    </w:rPr>
                  </w:pPr>
                  <w:hyperlink w:anchor="R1top" w:history="1">
                    <w:r w:rsidRPr="009E52FF">
                      <w:rPr>
                        <w:rStyle w:val="Hyperlink"/>
                        <w:bCs/>
                        <w:sz w:val="20"/>
                        <w:szCs w:val="20"/>
                        <w:lang w:val="en-US"/>
                      </w:rPr>
                      <w:t xml:space="preserve">Go to the </w:t>
                    </w:r>
                    <w:r w:rsidR="001B1CCE">
                      <w:rPr>
                        <w:rStyle w:val="Hyperlink"/>
                        <w:bCs/>
                        <w:sz w:val="20"/>
                        <w:szCs w:val="20"/>
                        <w:lang w:val="en-US"/>
                      </w:rPr>
                      <w:t>t</w:t>
                    </w:r>
                    <w:r w:rsidRPr="009E52FF">
                      <w:rPr>
                        <w:rStyle w:val="Hyperlink"/>
                        <w:bCs/>
                        <w:sz w:val="20"/>
                        <w:szCs w:val="20"/>
                        <w:lang w:val="en-US"/>
                      </w:rPr>
                      <w:t>op</w:t>
                    </w:r>
                  </w:hyperlink>
                </w:p>
                <w:p w14:paraId="3D555FCE" w14:textId="77777777" w:rsidR="00B04D9E" w:rsidRPr="009E52FF" w:rsidRDefault="00B04D9E" w:rsidP="00F84EB3">
                  <w:pPr>
                    <w:rPr>
                      <w:color w:val="1226AA"/>
                      <w:sz w:val="20"/>
                      <w:szCs w:val="20"/>
                      <w:lang w:val="en-US"/>
                    </w:rPr>
                  </w:pPr>
                </w:p>
                <w:tbl>
                  <w:tblPr>
                    <w:tblW w:w="5000" w:type="pct"/>
                    <w:shd w:val="clear" w:color="auto" w:fill="1226AA"/>
                    <w:tblCellMar>
                      <w:left w:w="0" w:type="dxa"/>
                      <w:right w:w="0" w:type="dxa"/>
                    </w:tblCellMar>
                    <w:tblLook w:val="04A0" w:firstRow="1" w:lastRow="0" w:firstColumn="1" w:lastColumn="0" w:noHBand="0" w:noVBand="1"/>
                  </w:tblPr>
                  <w:tblGrid>
                    <w:gridCol w:w="7722"/>
                  </w:tblGrid>
                  <w:tr w:rsidR="00F75762" w:rsidRPr="00C40F2C" w14:paraId="4036CD0B" w14:textId="77777777" w:rsidTr="00F84EB3">
                    <w:trPr>
                      <w:trHeight w:val="340"/>
                    </w:trPr>
                    <w:tc>
                      <w:tcPr>
                        <w:tcW w:w="5000" w:type="pct"/>
                        <w:shd w:val="clear" w:color="auto" w:fill="1226AA"/>
                        <w:tcMar>
                          <w:top w:w="57" w:type="dxa"/>
                          <w:left w:w="170" w:type="dxa"/>
                          <w:bottom w:w="57" w:type="dxa"/>
                        </w:tcMar>
                      </w:tcPr>
                      <w:p w14:paraId="1E911DF4" w14:textId="77777777" w:rsidR="00F75762" w:rsidRPr="009E52FF" w:rsidRDefault="00F75762" w:rsidP="00F84EB3">
                        <w:pPr>
                          <w:spacing w:line="240" w:lineRule="auto"/>
                          <w:rPr>
                            <w:color w:val="FFFFFF" w:themeColor="background1"/>
                            <w:sz w:val="20"/>
                            <w:szCs w:val="20"/>
                            <w:lang w:val="en-US"/>
                          </w:rPr>
                        </w:pPr>
                        <w:r w:rsidRPr="009E52FF">
                          <w:rPr>
                            <w:color w:val="FEFEFE"/>
                            <w:sz w:val="20"/>
                            <w:szCs w:val="20"/>
                            <w:lang w:val="en-US"/>
                          </w:rPr>
                          <w:t>Research highlights, details</w:t>
                        </w:r>
                      </w:p>
                    </w:tc>
                  </w:tr>
                </w:tbl>
                <w:p w14:paraId="166A1D88" w14:textId="3B7ED3FC" w:rsidR="002F7045" w:rsidRPr="009E52FF" w:rsidRDefault="002F7045" w:rsidP="002F7045">
                  <w:pPr>
                    <w:rPr>
                      <w:color w:val="1226AA"/>
                      <w:sz w:val="20"/>
                      <w:szCs w:val="20"/>
                      <w:lang w:val="en-US"/>
                    </w:rPr>
                  </w:pPr>
                  <w:bookmarkStart w:id="8" w:name="R0"/>
                  <w:bookmarkStart w:id="9" w:name="R1"/>
                  <w:r>
                    <w:rPr>
                      <w:b/>
                      <w:color w:val="1226AA"/>
                      <w:sz w:val="20"/>
                      <w:szCs w:val="20"/>
                      <w:lang w:val="en-US"/>
                    </w:rPr>
                    <w:t>1</w:t>
                  </w:r>
                  <w:r w:rsidRPr="009E52FF">
                    <w:rPr>
                      <w:b/>
                      <w:color w:val="1226AA"/>
                      <w:sz w:val="20"/>
                      <w:szCs w:val="20"/>
                      <w:lang w:val="en-US"/>
                    </w:rPr>
                    <w:t>.</w:t>
                  </w:r>
                  <w:r w:rsidRPr="009E52FF">
                    <w:rPr>
                      <w:sz w:val="20"/>
                      <w:szCs w:val="20"/>
                      <w:lang w:val="en-US"/>
                    </w:rPr>
                    <w:t xml:space="preserve"> </w:t>
                  </w:r>
                  <w:r w:rsidR="005355F9" w:rsidRPr="005355F9">
                    <w:rPr>
                      <w:b/>
                      <w:bCs/>
                      <w:color w:val="1226AA"/>
                      <w:sz w:val="20"/>
                      <w:szCs w:val="20"/>
                      <w:lang w:val="en-US"/>
                    </w:rPr>
                    <w:t xml:space="preserve">Optimal </w:t>
                  </w:r>
                  <w:r w:rsidR="000A5FF0">
                    <w:rPr>
                      <w:b/>
                      <w:bCs/>
                      <w:color w:val="1226AA"/>
                      <w:sz w:val="20"/>
                      <w:szCs w:val="20"/>
                      <w:lang w:val="en-US"/>
                    </w:rPr>
                    <w:t>n</w:t>
                  </w:r>
                  <w:r w:rsidR="005355F9" w:rsidRPr="005355F9">
                    <w:rPr>
                      <w:b/>
                      <w:bCs/>
                      <w:color w:val="1226AA"/>
                      <w:sz w:val="20"/>
                      <w:szCs w:val="20"/>
                      <w:lang w:val="en-US"/>
                    </w:rPr>
                    <w:t xml:space="preserve">ormalization </w:t>
                  </w:r>
                  <w:r w:rsidR="000A5FF0">
                    <w:rPr>
                      <w:b/>
                      <w:bCs/>
                      <w:color w:val="1226AA"/>
                      <w:sz w:val="20"/>
                      <w:szCs w:val="20"/>
                      <w:lang w:val="en-US"/>
                    </w:rPr>
                    <w:t>p</w:t>
                  </w:r>
                  <w:r w:rsidR="005355F9" w:rsidRPr="005355F9">
                    <w:rPr>
                      <w:b/>
                      <w:bCs/>
                      <w:color w:val="1226AA"/>
                      <w:sz w:val="20"/>
                      <w:szCs w:val="20"/>
                      <w:lang w:val="en-US"/>
                    </w:rPr>
                    <w:t>olicy under behavioral expectations</w:t>
                  </w:r>
                </w:p>
                <w:bookmarkEnd w:id="8"/>
                <w:bookmarkEnd w:id="9"/>
                <w:p w14:paraId="7D14CDE3" w14:textId="448A0911" w:rsidR="002F7045" w:rsidRDefault="005355F9" w:rsidP="000F5017">
                  <w:pPr>
                    <w:jc w:val="both"/>
                    <w:rPr>
                      <w:color w:val="1226AA"/>
                      <w:sz w:val="20"/>
                      <w:szCs w:val="20"/>
                      <w:lang w:val="en-US"/>
                    </w:rPr>
                  </w:pPr>
                  <w:r>
                    <w:rPr>
                      <w:color w:val="1226AA"/>
                      <w:sz w:val="20"/>
                      <w:szCs w:val="20"/>
                      <w:lang w:val="en-US"/>
                    </w:rPr>
                    <w:t>The authors show that</w:t>
                  </w:r>
                  <w:r w:rsidR="00147C0E">
                    <w:rPr>
                      <w:color w:val="1226AA"/>
                      <w:sz w:val="20"/>
                      <w:szCs w:val="20"/>
                      <w:lang w:val="en-US"/>
                    </w:rPr>
                    <w:t>,</w:t>
                  </w:r>
                  <w:r>
                    <w:rPr>
                      <w:color w:val="1226AA"/>
                      <w:sz w:val="20"/>
                      <w:szCs w:val="20"/>
                      <w:lang w:val="en-US"/>
                    </w:rPr>
                    <w:t xml:space="preserve"> w</w:t>
                  </w:r>
                  <w:r w:rsidRPr="005355F9">
                    <w:rPr>
                      <w:color w:val="1226AA"/>
                      <w:sz w:val="20"/>
                      <w:szCs w:val="20"/>
                      <w:lang w:val="en-US"/>
                    </w:rPr>
                    <w:t>hen interest rate fluctuations are costless, the interest rate is the primary tool for managing inflationary pressures, consistently outperforming balance sheet adjustments</w:t>
                  </w:r>
                  <w:r w:rsidR="00726498">
                    <w:rPr>
                      <w:color w:val="1226AA"/>
                      <w:sz w:val="20"/>
                      <w:szCs w:val="20"/>
                      <w:lang w:val="en-US"/>
                    </w:rPr>
                    <w:t xml:space="preserve">. This result holds </w:t>
                  </w:r>
                  <w:r w:rsidRPr="005355F9">
                    <w:rPr>
                      <w:color w:val="1226AA"/>
                      <w:sz w:val="20"/>
                      <w:szCs w:val="20"/>
                      <w:lang w:val="en-US"/>
                    </w:rPr>
                    <w:t xml:space="preserve">regardless of the expectations formation process. However, under de-anchored expectations, an increasing role for balance sheet management arises when interest rate fluctuations become costly. Finally, </w:t>
                  </w:r>
                  <w:r w:rsidR="00726498">
                    <w:rPr>
                      <w:color w:val="1226AA"/>
                      <w:sz w:val="20"/>
                      <w:szCs w:val="20"/>
                      <w:lang w:val="en-US"/>
                    </w:rPr>
                    <w:t xml:space="preserve">the </w:t>
                  </w:r>
                  <w:r w:rsidRPr="005355F9">
                    <w:rPr>
                      <w:color w:val="1226AA"/>
                      <w:sz w:val="20"/>
                      <w:szCs w:val="20"/>
                      <w:lang w:val="en-US"/>
                    </w:rPr>
                    <w:t>analysis reveals that expectations significantly influence the optimal interest rate trajectory, whereas their impact on the optimal balance sheet path is comparatively minimal.</w:t>
                  </w:r>
                </w:p>
                <w:p w14:paraId="16E9F488" w14:textId="77777777" w:rsidR="008348D5" w:rsidRDefault="005355F9" w:rsidP="00F84EB3">
                  <w:pPr>
                    <w:rPr>
                      <w:bCs/>
                      <w:color w:val="1226AA"/>
                      <w:sz w:val="20"/>
                      <w:szCs w:val="20"/>
                      <w:lang w:val="en-US"/>
                    </w:rPr>
                  </w:pPr>
                  <w:r>
                    <w:rPr>
                      <w:b/>
                      <w:color w:val="1226AA"/>
                      <w:sz w:val="20"/>
                      <w:szCs w:val="20"/>
                      <w:lang w:val="en-US"/>
                    </w:rPr>
                    <w:t>Read more?</w:t>
                  </w:r>
                  <w:r>
                    <w:rPr>
                      <w:b/>
                      <w:color w:val="1226AA"/>
                      <w:sz w:val="20"/>
                      <w:szCs w:val="20"/>
                      <w:lang w:val="en-US"/>
                    </w:rPr>
                    <w:br/>
                  </w:r>
                  <w:r w:rsidR="00322C3D">
                    <w:rPr>
                      <w:bCs/>
                      <w:color w:val="1226AA"/>
                      <w:sz w:val="20"/>
                      <w:szCs w:val="20"/>
                      <w:lang w:val="en-US"/>
                    </w:rPr>
                    <w:t>Read the latest version of the paper</w:t>
                  </w:r>
                  <w:r w:rsidR="00BD22BE">
                    <w:rPr>
                      <w:bCs/>
                      <w:color w:val="1226AA"/>
                      <w:sz w:val="20"/>
                      <w:szCs w:val="20"/>
                      <w:lang w:val="en-US"/>
                    </w:rPr>
                    <w:t xml:space="preserve"> by Kostas Mavromatis and Alexandre Carrier</w:t>
                  </w:r>
                  <w:r w:rsidR="00685A2C">
                    <w:rPr>
                      <w:bCs/>
                      <w:color w:val="1226AA"/>
                      <w:sz w:val="20"/>
                      <w:szCs w:val="20"/>
                      <w:lang w:val="en-US"/>
                    </w:rPr>
                    <w:t xml:space="preserve"> </w:t>
                  </w:r>
                  <w:hyperlink r:id="rId44" w:history="1">
                    <w:r w:rsidR="00685A2C" w:rsidRPr="00417E0E">
                      <w:rPr>
                        <w:rStyle w:val="Hyperlink"/>
                        <w:bCs/>
                        <w:sz w:val="20"/>
                        <w:szCs w:val="20"/>
                        <w:lang w:val="en-US"/>
                      </w:rPr>
                      <w:t>here</w:t>
                    </w:r>
                  </w:hyperlink>
                  <w:r w:rsidR="00685A2C">
                    <w:rPr>
                      <w:bCs/>
                      <w:color w:val="1226AA"/>
                      <w:sz w:val="20"/>
                      <w:szCs w:val="20"/>
                      <w:lang w:val="en-US"/>
                    </w:rPr>
                    <w:t>.</w:t>
                  </w:r>
                </w:p>
                <w:p w14:paraId="2A4A0279" w14:textId="0B13EFFA" w:rsidR="005355F9" w:rsidRPr="00322C3D" w:rsidRDefault="00322C3D" w:rsidP="00F84EB3">
                  <w:pPr>
                    <w:rPr>
                      <w:bCs/>
                      <w:color w:val="1226AA"/>
                      <w:sz w:val="20"/>
                      <w:szCs w:val="20"/>
                      <w:lang w:val="en-US"/>
                    </w:rPr>
                  </w:pPr>
                  <w:hyperlink w:anchor="R1top" w:history="1">
                    <w:r w:rsidRPr="00322C3D">
                      <w:rPr>
                        <w:rStyle w:val="Hyperlink"/>
                        <w:bCs/>
                        <w:sz w:val="20"/>
                        <w:szCs w:val="20"/>
                        <w:lang w:val="en-US"/>
                      </w:rPr>
                      <w:t>Go to the top</w:t>
                    </w:r>
                  </w:hyperlink>
                </w:p>
                <w:p w14:paraId="63D129F4" w14:textId="77777777" w:rsidR="005355F9" w:rsidRDefault="005355F9" w:rsidP="00F84EB3">
                  <w:pPr>
                    <w:rPr>
                      <w:b/>
                      <w:color w:val="1226AA"/>
                      <w:sz w:val="20"/>
                      <w:szCs w:val="20"/>
                      <w:lang w:val="en-US"/>
                    </w:rPr>
                  </w:pPr>
                </w:p>
                <w:p w14:paraId="1164E9B4" w14:textId="66FC6DFF" w:rsidR="00F75762" w:rsidRPr="009E52FF" w:rsidRDefault="002F7045" w:rsidP="00F84EB3">
                  <w:pPr>
                    <w:rPr>
                      <w:color w:val="1226AA"/>
                      <w:sz w:val="20"/>
                      <w:szCs w:val="20"/>
                      <w:lang w:val="en-US"/>
                    </w:rPr>
                  </w:pPr>
                  <w:bookmarkStart w:id="10" w:name="R2"/>
                  <w:r>
                    <w:rPr>
                      <w:b/>
                      <w:color w:val="1226AA"/>
                      <w:sz w:val="20"/>
                      <w:szCs w:val="20"/>
                      <w:lang w:val="en-US"/>
                    </w:rPr>
                    <w:t>2</w:t>
                  </w:r>
                  <w:r w:rsidR="00F75762" w:rsidRPr="009E52FF">
                    <w:rPr>
                      <w:b/>
                      <w:color w:val="1226AA"/>
                      <w:sz w:val="20"/>
                      <w:szCs w:val="20"/>
                      <w:lang w:val="en-US"/>
                    </w:rPr>
                    <w:t>.</w:t>
                  </w:r>
                  <w:r w:rsidR="00F75762" w:rsidRPr="009E52FF">
                    <w:rPr>
                      <w:sz w:val="20"/>
                      <w:szCs w:val="20"/>
                      <w:lang w:val="en-US"/>
                    </w:rPr>
                    <w:t xml:space="preserve"> </w:t>
                  </w:r>
                  <w:r w:rsidR="00580DCC" w:rsidRPr="009E52FF">
                    <w:rPr>
                      <w:b/>
                      <w:bCs/>
                      <w:color w:val="1226AA"/>
                      <w:sz w:val="20"/>
                      <w:szCs w:val="20"/>
                      <w:lang w:val="en-US"/>
                    </w:rPr>
                    <w:t>Deposit market concentration and monetary transmission: Evidence from the euro area</w:t>
                  </w:r>
                </w:p>
                <w:bookmarkEnd w:id="10"/>
                <w:p w14:paraId="034C9BDA" w14:textId="3B8405EF" w:rsidR="00580DCC" w:rsidRDefault="00580DCC" w:rsidP="00580DCC">
                  <w:pPr>
                    <w:jc w:val="both"/>
                    <w:rPr>
                      <w:color w:val="1226AA"/>
                      <w:sz w:val="20"/>
                      <w:szCs w:val="20"/>
                      <w:lang w:val="en-US"/>
                    </w:rPr>
                  </w:pPr>
                  <w:r w:rsidRPr="009E52FF">
                    <w:rPr>
                      <w:color w:val="1226AA"/>
                      <w:sz w:val="20"/>
                      <w:szCs w:val="20"/>
                      <w:lang w:val="en-US"/>
                    </w:rPr>
                    <w:t xml:space="preserve">In this paper, Stephen provides empirical evidence on the asymmetric response of deposit rates to monetary policy in the euro area, and relate this to the degree of concentration within a country’s banking sector. He </w:t>
                  </w:r>
                  <w:r w:rsidRPr="009E52FF">
                    <w:rPr>
                      <w:color w:val="1226AA"/>
                      <w:sz w:val="20"/>
                      <w:szCs w:val="20"/>
                      <w:lang w:val="en-US"/>
                    </w:rPr>
                    <w:lastRenderedPageBreak/>
                    <w:t>estimates the impact of unexpected positive and negative changes in monetary policy rates on the deposit spread. He does so in a panel local projections setting, with country-level data for 13 euro area member states in the 2003–2023 period and using high-frequency identification for the monetary policy shocks. To assess whether the deposit rate response is (even more) asymmetric in countries with more concentrated banking sectors, in a second step, he also interacts the monetary policy shocks with a measure of concentration.</w:t>
                  </w:r>
                </w:p>
                <w:p w14:paraId="34F66037" w14:textId="77777777" w:rsidR="005355F9" w:rsidRPr="009E52FF" w:rsidRDefault="005355F9" w:rsidP="00580DCC">
                  <w:pPr>
                    <w:jc w:val="both"/>
                    <w:rPr>
                      <w:color w:val="1226AA"/>
                      <w:sz w:val="20"/>
                      <w:szCs w:val="20"/>
                      <w:lang w:val="en-US"/>
                    </w:rPr>
                  </w:pPr>
                </w:p>
                <w:p w14:paraId="6EF815CA" w14:textId="77777777" w:rsidR="00913E9C" w:rsidRDefault="00580DCC" w:rsidP="00580DCC">
                  <w:pPr>
                    <w:jc w:val="both"/>
                    <w:rPr>
                      <w:color w:val="1226AA"/>
                      <w:sz w:val="20"/>
                      <w:szCs w:val="20"/>
                      <w:lang w:val="en-US"/>
                    </w:rPr>
                  </w:pPr>
                  <w:r w:rsidRPr="009E52FF">
                    <w:rPr>
                      <w:color w:val="1226AA"/>
                      <w:sz w:val="20"/>
                      <w:szCs w:val="20"/>
                      <w:lang w:val="en-US"/>
                    </w:rPr>
                    <w:t>The results in this paper imply that, on average, positive and negative shocks do not feed through to deposit rates asymmetrically in the months after a surprise change in monetary policy. However, there is an economically meaningful and statistically significant asymmetry across the degree of concentration. In more concentrated banking sectors, hikes are passed-through slower and cuts are passed-through faster within the year after a policy surprise. While the effects are somewhat short-lived, the magnitude of the temporary divergence is economically significant. Concentration thus appears to matter for how quickly ECB monetary policy has been transmitted to deposit rates across the euro area</w:t>
                  </w:r>
                  <w:r w:rsidR="00913E9C">
                    <w:rPr>
                      <w:color w:val="1226AA"/>
                      <w:sz w:val="20"/>
                      <w:szCs w:val="20"/>
                      <w:lang w:val="en-US"/>
                    </w:rPr>
                    <w:t>.</w:t>
                  </w:r>
                </w:p>
                <w:p w14:paraId="47990F2A" w14:textId="5A00F333" w:rsidR="004E7898" w:rsidRPr="009E52FF" w:rsidRDefault="004E7898" w:rsidP="00580DCC">
                  <w:pPr>
                    <w:jc w:val="both"/>
                    <w:rPr>
                      <w:color w:val="1226AA"/>
                      <w:sz w:val="20"/>
                      <w:szCs w:val="20"/>
                      <w:lang w:val="en-US"/>
                    </w:rPr>
                  </w:pPr>
                  <w:r w:rsidRPr="009E52FF">
                    <w:rPr>
                      <w:b/>
                      <w:bCs/>
                      <w:color w:val="1226AA"/>
                      <w:sz w:val="20"/>
                      <w:szCs w:val="20"/>
                      <w:lang w:val="en-US"/>
                    </w:rPr>
                    <w:t>Read more?</w:t>
                  </w:r>
                </w:p>
                <w:p w14:paraId="3DF6FD4A" w14:textId="633E7249" w:rsidR="00984648" w:rsidRPr="009E52FF" w:rsidRDefault="00997C18" w:rsidP="004E7898">
                  <w:pPr>
                    <w:jc w:val="both"/>
                    <w:rPr>
                      <w:color w:val="1226AA"/>
                      <w:sz w:val="20"/>
                      <w:szCs w:val="20"/>
                      <w:lang w:val="en-US"/>
                    </w:rPr>
                  </w:pPr>
                  <w:r w:rsidRPr="00913E9C">
                    <w:rPr>
                      <w:color w:val="1226AA"/>
                      <w:sz w:val="20"/>
                      <w:szCs w:val="20"/>
                      <w:lang w:val="en-US"/>
                    </w:rPr>
                    <w:t xml:space="preserve">See </w:t>
                  </w:r>
                  <w:r w:rsidR="00101573" w:rsidRPr="00913E9C">
                    <w:rPr>
                      <w:color w:val="1226AA"/>
                      <w:sz w:val="20"/>
                      <w:szCs w:val="20"/>
                      <w:lang w:val="en-US"/>
                    </w:rPr>
                    <w:t>European Economic Review</w:t>
                  </w:r>
                  <w:r w:rsidRPr="009E52FF">
                    <w:rPr>
                      <w:b/>
                      <w:bCs/>
                      <w:color w:val="1226AA"/>
                      <w:sz w:val="20"/>
                      <w:szCs w:val="20"/>
                      <w:lang w:val="en-US"/>
                    </w:rPr>
                    <w:t xml:space="preserve">, </w:t>
                  </w:r>
                  <w:hyperlink r:id="rId45" w:history="1">
                    <w:r w:rsidR="00B25254" w:rsidRPr="009E52FF">
                      <w:rPr>
                        <w:rStyle w:val="Hyperlink"/>
                        <w:sz w:val="20"/>
                        <w:szCs w:val="20"/>
                        <w:lang w:val="en-US"/>
                      </w:rPr>
                      <w:t>Deposit market concentration and monetary transmission: Evidence from the euro area</w:t>
                    </w:r>
                  </w:hyperlink>
                  <w:r w:rsidR="00B25254" w:rsidRPr="009E52FF">
                    <w:rPr>
                      <w:color w:val="1226AA"/>
                      <w:sz w:val="20"/>
                      <w:szCs w:val="20"/>
                      <w:lang w:val="en-US"/>
                    </w:rPr>
                    <w:t xml:space="preserve"> </w:t>
                  </w:r>
                  <w:r w:rsidRPr="009E52FF">
                    <w:rPr>
                      <w:color w:val="1226AA"/>
                      <w:sz w:val="20"/>
                      <w:szCs w:val="20"/>
                      <w:lang w:val="en-US"/>
                    </w:rPr>
                    <w:t xml:space="preserve">by </w:t>
                  </w:r>
                  <w:r w:rsidR="00B25254" w:rsidRPr="009E52FF">
                    <w:rPr>
                      <w:color w:val="1226AA"/>
                      <w:sz w:val="20"/>
                      <w:szCs w:val="20"/>
                      <w:lang w:val="en-US"/>
                    </w:rPr>
                    <w:t>Stephen Kho</w:t>
                  </w:r>
                  <w:r w:rsidRPr="009E52FF">
                    <w:rPr>
                      <w:color w:val="1226AA"/>
                      <w:sz w:val="20"/>
                      <w:szCs w:val="20"/>
                      <w:lang w:val="en-US"/>
                    </w:rPr>
                    <w:t>.</w:t>
                  </w:r>
                </w:p>
                <w:p w14:paraId="4EB79EDF" w14:textId="4EF51DEB" w:rsidR="00F75762" w:rsidRPr="00A720B3" w:rsidRDefault="00A720B3" w:rsidP="004E7898">
                  <w:pPr>
                    <w:jc w:val="both"/>
                    <w:rPr>
                      <w:rStyle w:val="Hyperlink"/>
                      <w:sz w:val="20"/>
                      <w:szCs w:val="20"/>
                      <w:lang w:val="en-US"/>
                    </w:rPr>
                  </w:pPr>
                  <w:r>
                    <w:rPr>
                      <w:sz w:val="20"/>
                      <w:szCs w:val="20"/>
                      <w:lang w:val="en-US"/>
                    </w:rPr>
                    <w:fldChar w:fldCharType="begin"/>
                  </w:r>
                  <w:r>
                    <w:rPr>
                      <w:sz w:val="20"/>
                      <w:szCs w:val="20"/>
                      <w:lang w:val="en-US"/>
                    </w:rPr>
                    <w:instrText>HYPERLINK  \l "R2top" \o "Go to the Top"</w:instrText>
                  </w:r>
                  <w:r>
                    <w:rPr>
                      <w:sz w:val="20"/>
                      <w:szCs w:val="20"/>
                      <w:lang w:val="en-US"/>
                    </w:rPr>
                  </w:r>
                  <w:r>
                    <w:rPr>
                      <w:sz w:val="20"/>
                      <w:szCs w:val="20"/>
                      <w:lang w:val="en-US"/>
                    </w:rPr>
                    <w:fldChar w:fldCharType="separate"/>
                  </w:r>
                  <w:r w:rsidR="002A7177" w:rsidRPr="00A720B3">
                    <w:rPr>
                      <w:rStyle w:val="Hyperlink"/>
                      <w:sz w:val="20"/>
                      <w:szCs w:val="20"/>
                      <w:lang w:val="en-US"/>
                    </w:rPr>
                    <w:t xml:space="preserve">Go to the </w:t>
                  </w:r>
                  <w:r w:rsidR="000740B0" w:rsidRPr="00A720B3">
                    <w:rPr>
                      <w:rStyle w:val="Hyperlink"/>
                      <w:sz w:val="20"/>
                      <w:szCs w:val="20"/>
                      <w:lang w:val="en-US"/>
                    </w:rPr>
                    <w:t>t</w:t>
                  </w:r>
                  <w:r w:rsidR="002A7177" w:rsidRPr="00A720B3">
                    <w:rPr>
                      <w:rStyle w:val="Hyperlink"/>
                      <w:sz w:val="20"/>
                      <w:szCs w:val="20"/>
                      <w:lang w:val="en-US"/>
                    </w:rPr>
                    <w:t>op</w:t>
                  </w:r>
                </w:p>
                <w:p w14:paraId="7556B005" w14:textId="0F60688A" w:rsidR="00F75762" w:rsidRPr="00A720B3" w:rsidRDefault="00F75762" w:rsidP="00F84EB3">
                  <w:pPr>
                    <w:rPr>
                      <w:rStyle w:val="Hyperlink"/>
                      <w:sz w:val="20"/>
                      <w:szCs w:val="20"/>
                      <w:lang w:val="en-US"/>
                    </w:rPr>
                  </w:pPr>
                </w:p>
                <w:p w14:paraId="19AB95F2" w14:textId="6C893337" w:rsidR="00F75762" w:rsidRPr="009E52FF" w:rsidRDefault="00A720B3" w:rsidP="00F84EB3">
                  <w:pPr>
                    <w:jc w:val="both"/>
                    <w:rPr>
                      <w:b/>
                      <w:color w:val="1226AA"/>
                      <w:sz w:val="20"/>
                      <w:szCs w:val="20"/>
                      <w:lang w:val="en-US"/>
                    </w:rPr>
                  </w:pPr>
                  <w:r>
                    <w:rPr>
                      <w:sz w:val="20"/>
                      <w:szCs w:val="20"/>
                      <w:lang w:val="en-US"/>
                    </w:rPr>
                    <w:fldChar w:fldCharType="end"/>
                  </w:r>
                  <w:bookmarkStart w:id="11" w:name="R3top"/>
                  <w:r w:rsidR="002F7045">
                    <w:rPr>
                      <w:b/>
                      <w:color w:val="1226AA"/>
                      <w:sz w:val="20"/>
                      <w:szCs w:val="20"/>
                      <w:lang w:val="en-US"/>
                    </w:rPr>
                    <w:t>3</w:t>
                  </w:r>
                  <w:r w:rsidR="00F75762" w:rsidRPr="009E52FF">
                    <w:rPr>
                      <w:b/>
                      <w:color w:val="1226AA"/>
                      <w:sz w:val="20"/>
                      <w:szCs w:val="20"/>
                      <w:lang w:val="en-US"/>
                    </w:rPr>
                    <w:t xml:space="preserve">. </w:t>
                  </w:r>
                  <w:r w:rsidR="00101573" w:rsidRPr="009E52FF">
                    <w:rPr>
                      <w:b/>
                      <w:color w:val="1226AA"/>
                      <w:sz w:val="20"/>
                      <w:szCs w:val="20"/>
                      <w:lang w:val="en-US"/>
                    </w:rPr>
                    <w:t>Long-</w:t>
                  </w:r>
                  <w:r w:rsidR="00DB127D">
                    <w:rPr>
                      <w:b/>
                      <w:color w:val="1226AA"/>
                      <w:sz w:val="20"/>
                      <w:szCs w:val="20"/>
                      <w:lang w:val="en-US"/>
                    </w:rPr>
                    <w:t>r</w:t>
                  </w:r>
                  <w:r w:rsidR="00101573" w:rsidRPr="009E52FF">
                    <w:rPr>
                      <w:b/>
                      <w:color w:val="1226AA"/>
                      <w:sz w:val="20"/>
                      <w:szCs w:val="20"/>
                      <w:lang w:val="en-US"/>
                    </w:rPr>
                    <w:t xml:space="preserve">un </w:t>
                  </w:r>
                  <w:r w:rsidR="00DB127D">
                    <w:rPr>
                      <w:b/>
                      <w:color w:val="1226AA"/>
                      <w:sz w:val="20"/>
                      <w:szCs w:val="20"/>
                      <w:lang w:val="en-US"/>
                    </w:rPr>
                    <w:t>i</w:t>
                  </w:r>
                  <w:r w:rsidR="00101573" w:rsidRPr="009E52FF">
                    <w:rPr>
                      <w:b/>
                      <w:color w:val="1226AA"/>
                      <w:sz w:val="20"/>
                      <w:szCs w:val="20"/>
                      <w:lang w:val="en-US"/>
                    </w:rPr>
                    <w:t xml:space="preserve">nflation </w:t>
                  </w:r>
                  <w:r w:rsidR="00DB127D">
                    <w:rPr>
                      <w:b/>
                      <w:color w:val="1226AA"/>
                      <w:sz w:val="20"/>
                      <w:szCs w:val="20"/>
                      <w:lang w:val="en-US"/>
                    </w:rPr>
                    <w:t>e</w:t>
                  </w:r>
                  <w:r w:rsidR="00101573" w:rsidRPr="009E52FF">
                    <w:rPr>
                      <w:b/>
                      <w:color w:val="1226AA"/>
                      <w:sz w:val="20"/>
                      <w:szCs w:val="20"/>
                      <w:lang w:val="en-US"/>
                    </w:rPr>
                    <w:t>xpectations</w:t>
                  </w:r>
                </w:p>
                <w:bookmarkEnd w:id="11"/>
                <w:p w14:paraId="051941A8" w14:textId="77777777" w:rsidR="00913E9C" w:rsidRDefault="00101573" w:rsidP="00FC6FF6">
                  <w:pPr>
                    <w:jc w:val="both"/>
                    <w:rPr>
                      <w:color w:val="1226AA"/>
                      <w:sz w:val="20"/>
                      <w:szCs w:val="20"/>
                      <w:lang w:val="en-US"/>
                    </w:rPr>
                  </w:pPr>
                  <w:r w:rsidRPr="009E52FF">
                    <w:rPr>
                      <w:color w:val="1226AA"/>
                      <w:sz w:val="20"/>
                      <w:szCs w:val="20"/>
                      <w:lang w:val="en-US"/>
                    </w:rPr>
                    <w:t xml:space="preserve">Using data from the U.S. Survey of Professional Forecasters, the authors develop a flexible framework for </w:t>
                  </w:r>
                  <w:proofErr w:type="spellStart"/>
                  <w:r w:rsidRPr="009E52FF">
                    <w:rPr>
                      <w:color w:val="1226AA"/>
                      <w:sz w:val="20"/>
                      <w:szCs w:val="20"/>
                      <w:lang w:val="en-US"/>
                    </w:rPr>
                    <w:t>analysing</w:t>
                  </w:r>
                  <w:proofErr w:type="spellEnd"/>
                  <w:r w:rsidRPr="009E52FF">
                    <w:rPr>
                      <w:color w:val="1226AA"/>
                      <w:sz w:val="20"/>
                      <w:szCs w:val="20"/>
                      <w:lang w:val="en-US"/>
                    </w:rPr>
                    <w:t xml:space="preserve"> how forecasters form expectations about long-run inflation. The model incorporates overconfidence in private information and persistent expectation biases – features that generate highly persistent forecast errors. The model captures key time-series and cross-sectional patterns in the data. The findings reveal substantial, time-varying heterogeneity in forecasters’ responsiveness to public information. Notably, this sensitivity declines across all forecasters when monetary policy is constrained by the effective lower bound. To illustrate the model’s policy relevance, the authors apply it to the FOMC’s December 2022 Summary of Economic Projections. This exercise demonstrates how the framework can be used to assess whether policymakers’ communicated inflation paths are consistent with well-anchored long-run expectations</w:t>
                  </w:r>
                  <w:r w:rsidR="00913E9C">
                    <w:rPr>
                      <w:color w:val="1226AA"/>
                      <w:sz w:val="20"/>
                      <w:szCs w:val="20"/>
                      <w:lang w:val="en-US"/>
                    </w:rPr>
                    <w:t>.</w:t>
                  </w:r>
                </w:p>
                <w:p w14:paraId="3AB3F707" w14:textId="5E576288" w:rsidR="00F75762" w:rsidRPr="009E52FF" w:rsidRDefault="00F75762" w:rsidP="00B6267B">
                  <w:pPr>
                    <w:jc w:val="both"/>
                    <w:rPr>
                      <w:color w:val="1226AA"/>
                      <w:sz w:val="20"/>
                      <w:szCs w:val="20"/>
                      <w:lang w:val="en-US"/>
                    </w:rPr>
                  </w:pPr>
                  <w:r w:rsidRPr="009E52FF">
                    <w:rPr>
                      <w:b/>
                      <w:color w:val="1226AA"/>
                      <w:sz w:val="20"/>
                      <w:szCs w:val="20"/>
                      <w:lang w:val="en-US"/>
                    </w:rPr>
                    <w:lastRenderedPageBreak/>
                    <w:t>Read more?</w:t>
                  </w:r>
                </w:p>
                <w:p w14:paraId="3A957990" w14:textId="0EC81C26" w:rsidR="00F75762" w:rsidRPr="009E52FF" w:rsidRDefault="00071E61" w:rsidP="00F84EB3">
                  <w:pPr>
                    <w:rPr>
                      <w:rStyle w:val="Hyperlink"/>
                      <w:sz w:val="20"/>
                      <w:szCs w:val="20"/>
                      <w:lang w:val="en-US"/>
                    </w:rPr>
                  </w:pPr>
                  <w:r w:rsidRPr="009E52FF">
                    <w:rPr>
                      <w:color w:val="1226AA"/>
                      <w:sz w:val="20"/>
                      <w:szCs w:val="20"/>
                      <w:lang w:val="en-US"/>
                    </w:rPr>
                    <w:t>See the DNB working paper no 82</w:t>
                  </w:r>
                  <w:r w:rsidR="00101573" w:rsidRPr="009E52FF">
                    <w:rPr>
                      <w:color w:val="1226AA"/>
                      <w:sz w:val="20"/>
                      <w:szCs w:val="20"/>
                      <w:lang w:val="en-US"/>
                    </w:rPr>
                    <w:t>9</w:t>
                  </w:r>
                  <w:r w:rsidRPr="009E52FF">
                    <w:rPr>
                      <w:color w:val="1226AA"/>
                      <w:sz w:val="20"/>
                      <w:szCs w:val="20"/>
                      <w:lang w:val="en-US"/>
                    </w:rPr>
                    <w:t xml:space="preserve"> </w:t>
                  </w:r>
                  <w:hyperlink r:id="rId46" w:history="1">
                    <w:r w:rsidR="00101573" w:rsidRPr="009E52FF">
                      <w:rPr>
                        <w:rStyle w:val="Hyperlink"/>
                        <w:sz w:val="20"/>
                        <w:szCs w:val="20"/>
                        <w:lang w:val="en-US"/>
                      </w:rPr>
                      <w:t>Long-Run Inflation Expectations</w:t>
                    </w:r>
                  </w:hyperlink>
                  <w:r w:rsidRPr="009E52FF">
                    <w:rPr>
                      <w:color w:val="1226AA"/>
                      <w:sz w:val="20"/>
                      <w:szCs w:val="20"/>
                      <w:lang w:val="en-US"/>
                    </w:rPr>
                    <w:t xml:space="preserve">, by </w:t>
                  </w:r>
                  <w:r w:rsidR="00CA5827" w:rsidRPr="009E52FF">
                    <w:rPr>
                      <w:color w:val="1226AA"/>
                      <w:sz w:val="20"/>
                      <w:szCs w:val="20"/>
                      <w:lang w:val="en-US"/>
                    </w:rPr>
                    <w:t>Sebastian Rast, Jonas Fisher</w:t>
                  </w:r>
                  <w:r w:rsidR="00CA5827" w:rsidRPr="009E52FF">
                    <w:rPr>
                      <w:sz w:val="20"/>
                      <w:szCs w:val="20"/>
                      <w:lang w:val="en-US"/>
                    </w:rPr>
                    <w:t xml:space="preserve"> </w:t>
                  </w:r>
                  <w:r w:rsidR="00CA5827" w:rsidRPr="009E52FF">
                    <w:rPr>
                      <w:color w:val="1226AA"/>
                      <w:sz w:val="20"/>
                      <w:szCs w:val="20"/>
                      <w:lang w:val="en-US"/>
                    </w:rPr>
                    <w:t>and Leonardo Melosi</w:t>
                  </w:r>
                  <w:r w:rsidR="00913E9C">
                    <w:rPr>
                      <w:color w:val="1226AA"/>
                      <w:sz w:val="20"/>
                      <w:szCs w:val="20"/>
                      <w:lang w:val="en-US"/>
                    </w:rPr>
                    <w:t>.</w:t>
                  </w:r>
                  <w:r w:rsidRPr="009E52FF">
                    <w:rPr>
                      <w:color w:val="1226AA"/>
                      <w:sz w:val="20"/>
                      <w:szCs w:val="20"/>
                      <w:lang w:val="en-US"/>
                    </w:rPr>
                    <w:br/>
                  </w:r>
                  <w:r w:rsidR="00F76E7F" w:rsidRPr="009E52FF">
                    <w:rPr>
                      <w:sz w:val="20"/>
                      <w:szCs w:val="20"/>
                      <w:lang w:val="en-US"/>
                    </w:rPr>
                    <w:fldChar w:fldCharType="begin"/>
                  </w:r>
                  <w:r w:rsidR="003C632B">
                    <w:rPr>
                      <w:sz w:val="20"/>
                      <w:szCs w:val="20"/>
                      <w:lang w:val="en-US"/>
                    </w:rPr>
                    <w:instrText>HYPERLINK  \l "R3"</w:instrText>
                  </w:r>
                  <w:r w:rsidR="00F76E7F" w:rsidRPr="009E52FF">
                    <w:rPr>
                      <w:sz w:val="20"/>
                      <w:szCs w:val="20"/>
                      <w:lang w:val="en-US"/>
                    </w:rPr>
                  </w:r>
                  <w:r w:rsidR="00F76E7F" w:rsidRPr="009E52FF">
                    <w:rPr>
                      <w:sz w:val="20"/>
                      <w:szCs w:val="20"/>
                      <w:lang w:val="en-US"/>
                    </w:rPr>
                    <w:fldChar w:fldCharType="separate"/>
                  </w:r>
                  <w:r w:rsidR="00F75762" w:rsidRPr="009E52FF">
                    <w:rPr>
                      <w:rStyle w:val="Hyperlink"/>
                      <w:sz w:val="20"/>
                      <w:szCs w:val="20"/>
                      <w:lang w:val="en-US"/>
                    </w:rPr>
                    <w:t xml:space="preserve">Go to the </w:t>
                  </w:r>
                  <w:r w:rsidR="000740B0">
                    <w:rPr>
                      <w:rStyle w:val="Hyperlink"/>
                      <w:sz w:val="20"/>
                      <w:szCs w:val="20"/>
                      <w:lang w:val="en-US"/>
                    </w:rPr>
                    <w:t>t</w:t>
                  </w:r>
                  <w:r w:rsidR="00F75762" w:rsidRPr="009E52FF">
                    <w:rPr>
                      <w:rStyle w:val="Hyperlink"/>
                      <w:sz w:val="20"/>
                      <w:szCs w:val="20"/>
                      <w:lang w:val="en-US"/>
                    </w:rPr>
                    <w:t>op</w:t>
                  </w:r>
                </w:p>
                <w:p w14:paraId="136555E4" w14:textId="5A5CC5D9" w:rsidR="00F75762" w:rsidRPr="009E52FF" w:rsidRDefault="00F75762" w:rsidP="00F84EB3">
                  <w:pPr>
                    <w:rPr>
                      <w:rStyle w:val="Hyperlink"/>
                      <w:sz w:val="20"/>
                      <w:szCs w:val="20"/>
                      <w:lang w:val="en-US"/>
                    </w:rPr>
                  </w:pPr>
                </w:p>
                <w:p w14:paraId="3FFB13AF" w14:textId="298D0A34" w:rsidR="003A5892" w:rsidRPr="009E52FF" w:rsidRDefault="00F76E7F" w:rsidP="00F84EB3">
                  <w:pPr>
                    <w:rPr>
                      <w:b/>
                      <w:color w:val="1226AA"/>
                      <w:sz w:val="20"/>
                      <w:szCs w:val="20"/>
                      <w:lang w:val="en-US"/>
                    </w:rPr>
                  </w:pPr>
                  <w:r w:rsidRPr="009E52FF">
                    <w:rPr>
                      <w:sz w:val="20"/>
                      <w:szCs w:val="20"/>
                      <w:lang w:val="en-US"/>
                    </w:rPr>
                    <w:fldChar w:fldCharType="end"/>
                  </w:r>
                  <w:bookmarkStart w:id="12" w:name="R4"/>
                  <w:r w:rsidR="002F7045">
                    <w:rPr>
                      <w:b/>
                      <w:color w:val="1226AA"/>
                      <w:sz w:val="20"/>
                      <w:szCs w:val="20"/>
                      <w:lang w:val="en-US"/>
                    </w:rPr>
                    <w:t>4</w:t>
                  </w:r>
                  <w:r w:rsidR="00F75762" w:rsidRPr="009E52FF">
                    <w:rPr>
                      <w:b/>
                      <w:color w:val="1226AA"/>
                      <w:sz w:val="20"/>
                      <w:szCs w:val="20"/>
                      <w:lang w:val="en-US"/>
                    </w:rPr>
                    <w:t xml:space="preserve">. </w:t>
                  </w:r>
                  <w:r w:rsidR="003A5892" w:rsidRPr="009E52FF">
                    <w:rPr>
                      <w:b/>
                      <w:color w:val="1226AA"/>
                      <w:sz w:val="20"/>
                      <w:szCs w:val="20"/>
                      <w:lang w:val="en-US"/>
                    </w:rPr>
                    <w:t>Inequality along the European green transition</w:t>
                  </w:r>
                </w:p>
                <w:bookmarkEnd w:id="12"/>
                <w:p w14:paraId="0E23E738" w14:textId="77777777" w:rsidR="003A5892" w:rsidRPr="009E52FF" w:rsidRDefault="003A5892" w:rsidP="00913E9C">
                  <w:pPr>
                    <w:jc w:val="both"/>
                    <w:rPr>
                      <w:color w:val="1226AA"/>
                      <w:sz w:val="20"/>
                      <w:szCs w:val="20"/>
                      <w:lang w:val="en-US"/>
                    </w:rPr>
                  </w:pPr>
                  <w:r w:rsidRPr="009E52FF">
                    <w:rPr>
                      <w:color w:val="1226AA"/>
                      <w:sz w:val="20"/>
                      <w:szCs w:val="20"/>
                      <w:lang w:val="en-US"/>
                    </w:rPr>
                    <w:t>Using an incomplete markets general equilibrium model, they analyze the distributional consequences of different ways to recycle carbon tax revenues. Their findings reveal that uniform transfers reduce income inequality but increase wealth inequality by weakening precautionary savings. Conversely, green energy subsidies lower the carbon tax required to meet EU targets but impose higher welfare costs on low-income households. Policymakers face a complex balancing act—accelerating the green transition while minimizing inequality—highlighting the trade-offs between equity and efficiency. Overall, their research sheds light on the winners and losers of climate policy, emphasizing the crucial role of household preferences and the dynamics between green and non-green energy producers.</w:t>
                  </w:r>
                </w:p>
                <w:p w14:paraId="32CD358D" w14:textId="2856CD6A" w:rsidR="00045B42" w:rsidRPr="009E52FF" w:rsidRDefault="003A51C5" w:rsidP="00071E61">
                  <w:pPr>
                    <w:rPr>
                      <w:color w:val="1226AA"/>
                      <w:sz w:val="20"/>
                      <w:szCs w:val="20"/>
                      <w:lang w:val="en-US"/>
                    </w:rPr>
                  </w:pPr>
                  <w:r w:rsidRPr="009E52FF">
                    <w:rPr>
                      <w:b/>
                      <w:bCs/>
                      <w:color w:val="1226AA"/>
                      <w:sz w:val="20"/>
                      <w:szCs w:val="20"/>
                      <w:lang w:val="en-US"/>
                    </w:rPr>
                    <w:t>Read more?</w:t>
                  </w:r>
                  <w:r w:rsidRPr="009E52FF">
                    <w:rPr>
                      <w:color w:val="1226AA"/>
                      <w:sz w:val="20"/>
                      <w:szCs w:val="20"/>
                      <w:lang w:val="en-US"/>
                    </w:rPr>
                    <w:t xml:space="preserve"> </w:t>
                  </w:r>
                </w:p>
                <w:p w14:paraId="298BA892" w14:textId="0DEC3439" w:rsidR="003A51C5" w:rsidRPr="009E52FF" w:rsidRDefault="00071E61" w:rsidP="003A51C5">
                  <w:pPr>
                    <w:jc w:val="both"/>
                    <w:rPr>
                      <w:color w:val="1226AA"/>
                      <w:sz w:val="20"/>
                      <w:szCs w:val="20"/>
                      <w:lang w:val="en-US"/>
                    </w:rPr>
                  </w:pPr>
                  <w:r w:rsidRPr="009E52FF">
                    <w:rPr>
                      <w:color w:val="1226AA"/>
                      <w:sz w:val="20"/>
                      <w:szCs w:val="20"/>
                      <w:lang w:val="en-US"/>
                    </w:rPr>
                    <w:t>See the DNB working paper 8</w:t>
                  </w:r>
                  <w:r w:rsidR="003A5892" w:rsidRPr="009E52FF">
                    <w:rPr>
                      <w:color w:val="1226AA"/>
                      <w:sz w:val="20"/>
                      <w:szCs w:val="20"/>
                      <w:lang w:val="en-US"/>
                    </w:rPr>
                    <w:t>30</w:t>
                  </w:r>
                  <w:r w:rsidRPr="009E52FF">
                    <w:rPr>
                      <w:color w:val="1226AA"/>
                      <w:sz w:val="20"/>
                      <w:szCs w:val="20"/>
                      <w:lang w:val="en-US"/>
                    </w:rPr>
                    <w:t xml:space="preserve"> </w:t>
                  </w:r>
                  <w:hyperlink r:id="rId47" w:tooltip="https://www.dnb.nl/publicaties/publicaties-onderzoek/working-paper-2025/830-inequality-along-the-european-green-transition/" w:history="1">
                    <w:r w:rsidR="003A5892" w:rsidRPr="00447DF4">
                      <w:rPr>
                        <w:rStyle w:val="Hyperlink"/>
                        <w:sz w:val="20"/>
                        <w:szCs w:val="20"/>
                        <w:lang w:val="en-US"/>
                      </w:rPr>
                      <w:t>Inequality along the European green transition</w:t>
                    </w:r>
                  </w:hyperlink>
                  <w:r w:rsidR="00913E9C" w:rsidRPr="00913E9C">
                    <w:rPr>
                      <w:lang w:val="en-US"/>
                    </w:rPr>
                    <w:t xml:space="preserve"> </w:t>
                  </w:r>
                  <w:r w:rsidRPr="009E52FF">
                    <w:rPr>
                      <w:color w:val="1226AA"/>
                      <w:sz w:val="20"/>
                      <w:szCs w:val="20"/>
                      <w:lang w:val="en-US"/>
                    </w:rPr>
                    <w:t xml:space="preserve">by </w:t>
                  </w:r>
                  <w:r w:rsidR="003A5892" w:rsidRPr="009E52FF">
                    <w:rPr>
                      <w:color w:val="1226AA"/>
                      <w:sz w:val="20"/>
                      <w:szCs w:val="20"/>
                      <w:lang w:val="en-US"/>
                    </w:rPr>
                    <w:t>Guido Ascari, Andrea Colciago, Timo Haber, and Stefan Wöhrmüller</w:t>
                  </w:r>
                  <w:r w:rsidRPr="009E52FF">
                    <w:rPr>
                      <w:color w:val="1226AA"/>
                      <w:sz w:val="20"/>
                      <w:szCs w:val="20"/>
                      <w:lang w:val="en-US"/>
                    </w:rPr>
                    <w:t>.</w:t>
                  </w:r>
                </w:p>
                <w:p w14:paraId="05CB25D1" w14:textId="6F657114" w:rsidR="00F75762" w:rsidRPr="009E52FF" w:rsidRDefault="005A582B" w:rsidP="003A51C5">
                  <w:pPr>
                    <w:jc w:val="both"/>
                    <w:rPr>
                      <w:rStyle w:val="Hyperlink"/>
                      <w:sz w:val="20"/>
                      <w:szCs w:val="20"/>
                      <w:lang w:val="en-US"/>
                    </w:rPr>
                  </w:pPr>
                  <w:r w:rsidRPr="009E52FF">
                    <w:rPr>
                      <w:sz w:val="20"/>
                      <w:szCs w:val="20"/>
                      <w:lang w:val="en-US"/>
                    </w:rPr>
                    <w:fldChar w:fldCharType="begin"/>
                  </w:r>
                  <w:r w:rsidR="003C632B">
                    <w:rPr>
                      <w:sz w:val="20"/>
                      <w:szCs w:val="20"/>
                      <w:lang w:val="en-US"/>
                    </w:rPr>
                    <w:instrText>HYPERLINK  \l "R4top"</w:instrText>
                  </w:r>
                  <w:r w:rsidRPr="009E52FF">
                    <w:rPr>
                      <w:sz w:val="20"/>
                      <w:szCs w:val="20"/>
                      <w:lang w:val="en-US"/>
                    </w:rPr>
                  </w:r>
                  <w:r w:rsidRPr="009E52FF">
                    <w:rPr>
                      <w:sz w:val="20"/>
                      <w:szCs w:val="20"/>
                      <w:lang w:val="en-US"/>
                    </w:rPr>
                    <w:fldChar w:fldCharType="separate"/>
                  </w:r>
                  <w:r w:rsidR="00F75762" w:rsidRPr="009E52FF">
                    <w:rPr>
                      <w:rStyle w:val="Hyperlink"/>
                      <w:sz w:val="20"/>
                      <w:szCs w:val="20"/>
                      <w:lang w:val="en-US"/>
                    </w:rPr>
                    <w:t xml:space="preserve">Go to the </w:t>
                  </w:r>
                  <w:r w:rsidR="00EF7F28">
                    <w:rPr>
                      <w:rStyle w:val="Hyperlink"/>
                      <w:sz w:val="20"/>
                      <w:szCs w:val="20"/>
                      <w:lang w:val="en-US"/>
                    </w:rPr>
                    <w:t>t</w:t>
                  </w:r>
                  <w:r w:rsidR="00F75762" w:rsidRPr="009E52FF">
                    <w:rPr>
                      <w:rStyle w:val="Hyperlink"/>
                      <w:sz w:val="20"/>
                      <w:szCs w:val="20"/>
                      <w:lang w:val="en-US"/>
                    </w:rPr>
                    <w:t>op</w:t>
                  </w:r>
                </w:p>
                <w:p w14:paraId="3B9E5F08" w14:textId="03A817F1" w:rsidR="003A51C5" w:rsidRPr="009E52FF" w:rsidRDefault="005A582B" w:rsidP="003A51C5">
                  <w:pPr>
                    <w:jc w:val="both"/>
                    <w:rPr>
                      <w:color w:val="1226AA"/>
                      <w:sz w:val="20"/>
                      <w:szCs w:val="20"/>
                      <w:lang w:val="en-US"/>
                    </w:rPr>
                  </w:pPr>
                  <w:r w:rsidRPr="009E52FF">
                    <w:rPr>
                      <w:sz w:val="20"/>
                      <w:szCs w:val="20"/>
                      <w:lang w:val="en-US"/>
                    </w:rPr>
                    <w:fldChar w:fldCharType="end"/>
                  </w:r>
                </w:p>
                <w:p w14:paraId="536B8E76" w14:textId="34734FE5" w:rsidR="00FC6FF6" w:rsidRPr="009E52FF" w:rsidRDefault="002F7045" w:rsidP="00FC6FF6">
                  <w:pPr>
                    <w:rPr>
                      <w:b/>
                      <w:color w:val="1226AA"/>
                      <w:sz w:val="20"/>
                      <w:szCs w:val="20"/>
                      <w:lang w:val="en-US"/>
                    </w:rPr>
                  </w:pPr>
                  <w:bookmarkStart w:id="13" w:name="R5"/>
                  <w:r>
                    <w:rPr>
                      <w:b/>
                      <w:color w:val="1226AA"/>
                      <w:sz w:val="20"/>
                      <w:szCs w:val="20"/>
                      <w:lang w:val="en-US"/>
                    </w:rPr>
                    <w:t>5</w:t>
                  </w:r>
                  <w:r w:rsidR="00FC6FF6" w:rsidRPr="009E52FF">
                    <w:rPr>
                      <w:b/>
                      <w:color w:val="1226AA"/>
                      <w:sz w:val="20"/>
                      <w:szCs w:val="20"/>
                      <w:lang w:val="en-US"/>
                    </w:rPr>
                    <w:t xml:space="preserve">. </w:t>
                  </w:r>
                  <w:r w:rsidR="003A5892" w:rsidRPr="009E52FF">
                    <w:rPr>
                      <w:b/>
                      <w:color w:val="1226AA"/>
                      <w:sz w:val="20"/>
                      <w:szCs w:val="20"/>
                      <w:lang w:val="en-US"/>
                    </w:rPr>
                    <w:t>PhD defense: Interview with Andra Smadu</w:t>
                  </w:r>
                </w:p>
                <w:bookmarkEnd w:id="13"/>
                <w:p w14:paraId="195BD690" w14:textId="324291A7" w:rsidR="003A5892" w:rsidRPr="00CA09CC" w:rsidRDefault="006D30EA" w:rsidP="003A5892">
                  <w:pPr>
                    <w:jc w:val="both"/>
                    <w:rPr>
                      <w:i/>
                      <w:iCs/>
                      <w:color w:val="1226AA"/>
                      <w:sz w:val="20"/>
                      <w:szCs w:val="20"/>
                      <w:lang w:val="en-US"/>
                    </w:rPr>
                  </w:pPr>
                  <w:r>
                    <w:rPr>
                      <w:noProof/>
                      <w:color w:val="1226AA"/>
                      <w:sz w:val="20"/>
                      <w:szCs w:val="20"/>
                      <w:lang w:val="en-US"/>
                    </w:rPr>
                    <w:drawing>
                      <wp:anchor distT="0" distB="0" distL="114300" distR="114300" simplePos="0" relativeHeight="251658240" behindDoc="0" locked="0" layoutInCell="1" allowOverlap="1" wp14:anchorId="2B564847" wp14:editId="237D811F">
                        <wp:simplePos x="0" y="0"/>
                        <wp:positionH relativeFrom="column">
                          <wp:posOffset>-6985</wp:posOffset>
                        </wp:positionH>
                        <wp:positionV relativeFrom="paragraph">
                          <wp:posOffset>231140</wp:posOffset>
                        </wp:positionV>
                        <wp:extent cx="2352675" cy="1764030"/>
                        <wp:effectExtent l="0" t="0" r="9525" b="7620"/>
                        <wp:wrapSquare wrapText="bothSides"/>
                        <wp:docPr id="1911017799" name="Picture 1" descr="A group of women standing on stai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017799" name="Picture 1" descr="A group of women standing on stairs&#10;&#10;AI-generated content may be incorrect."/>
                                <pic:cNvPicPr/>
                              </pic:nvPicPr>
                              <pic:blipFill>
                                <a:blip r:embed="rId48" cstate="print">
                                  <a:extLst>
                                    <a:ext uri="{28A0092B-C50C-407E-A947-70E740481C1C}">
                                      <a14:useLocalDpi xmlns:a14="http://schemas.microsoft.com/office/drawing/2010/main" val="0"/>
                                    </a:ext>
                                  </a:extLst>
                                </a:blip>
                                <a:stretch>
                                  <a:fillRect/>
                                </a:stretch>
                              </pic:blipFill>
                              <pic:spPr>
                                <a:xfrm>
                                  <a:off x="0" y="0"/>
                                  <a:ext cx="2352675" cy="1764030"/>
                                </a:xfrm>
                                <a:prstGeom prst="rect">
                                  <a:avLst/>
                                </a:prstGeom>
                              </pic:spPr>
                            </pic:pic>
                          </a:graphicData>
                        </a:graphic>
                        <wp14:sizeRelH relativeFrom="margin">
                          <wp14:pctWidth>0</wp14:pctWidth>
                        </wp14:sizeRelH>
                        <wp14:sizeRelV relativeFrom="margin">
                          <wp14:pctHeight>0</wp14:pctHeight>
                        </wp14:sizeRelV>
                      </wp:anchor>
                    </w:drawing>
                  </w:r>
                  <w:r w:rsidR="003A5892" w:rsidRPr="00CA09CC">
                    <w:rPr>
                      <w:i/>
                      <w:iCs/>
                      <w:color w:val="1226AA"/>
                      <w:sz w:val="20"/>
                      <w:szCs w:val="20"/>
                      <w:lang w:val="en-US"/>
                    </w:rPr>
                    <w:t xml:space="preserve">Congratulations with your thesis! What are the main findings? </w:t>
                  </w:r>
                </w:p>
                <w:p w14:paraId="6F4750C6" w14:textId="359F1056" w:rsidR="003A5892" w:rsidRDefault="00913E9C" w:rsidP="003A5892">
                  <w:pPr>
                    <w:jc w:val="both"/>
                    <w:rPr>
                      <w:color w:val="1226AA"/>
                      <w:sz w:val="20"/>
                      <w:szCs w:val="20"/>
                      <w:lang w:val="en-US"/>
                    </w:rPr>
                  </w:pPr>
                  <w:r>
                    <w:rPr>
                      <w:color w:val="1226AA"/>
                      <w:sz w:val="20"/>
                      <w:szCs w:val="20"/>
                      <w:lang w:val="en-US"/>
                    </w:rPr>
                    <w:t xml:space="preserve">Andra: </w:t>
                  </w:r>
                  <w:r w:rsidR="003A5892" w:rsidRPr="009E52FF">
                    <w:rPr>
                      <w:color w:val="1226AA"/>
                      <w:sz w:val="20"/>
                      <w:szCs w:val="20"/>
                      <w:lang w:val="en-US"/>
                    </w:rPr>
                    <w:t xml:space="preserve">To summarize the key policy takeaway: uncertainty is not just noise − it's a structural driver of macroeconomic dynamics, and its effects are asymmetric. That means not all shocks are equal, and policy should respond accordingly. Let me break this down briefly. First, financial uncertainty shocks can have far larger consequences than demand or supply shocks, particularly during periods of financial distress. This leads directly to my second point: policy should be state-dependent. Policies that work in normal times may be ineffective during turmoil. Flexibility and real-time risk assessment are essential. Third, there's no one-size-fits-all framework. </w:t>
                  </w:r>
                  <w:r w:rsidR="003A5892" w:rsidRPr="009E52FF">
                    <w:rPr>
                      <w:color w:val="1226AA"/>
                      <w:sz w:val="20"/>
                      <w:szCs w:val="20"/>
                      <w:lang w:val="en-US"/>
                    </w:rPr>
                    <w:lastRenderedPageBreak/>
                    <w:t xml:space="preserve">Policymakers need to tailor their responses to the type of shock, balancing inflation and financial stability objectives. Fourth, large, persistent shocks − like the pandemic − can de-anchor inflation expectations, regardless of whether they're supply- or demand-driven. So, policymakers should not just look at the origin of a shock, but also its size and persistence. </w:t>
                  </w:r>
                </w:p>
                <w:p w14:paraId="488CA27D" w14:textId="77777777" w:rsidR="006D30EA" w:rsidRPr="009E52FF" w:rsidRDefault="006D30EA" w:rsidP="003A5892">
                  <w:pPr>
                    <w:jc w:val="both"/>
                    <w:rPr>
                      <w:color w:val="1226AA"/>
                      <w:sz w:val="20"/>
                      <w:szCs w:val="20"/>
                      <w:lang w:val="en-US"/>
                    </w:rPr>
                  </w:pPr>
                </w:p>
                <w:p w14:paraId="1DF2AEF2" w14:textId="77777777" w:rsidR="003A5892" w:rsidRPr="009E52FF" w:rsidRDefault="003A5892" w:rsidP="003A5892">
                  <w:pPr>
                    <w:jc w:val="both"/>
                    <w:rPr>
                      <w:color w:val="1226AA"/>
                      <w:sz w:val="20"/>
                      <w:szCs w:val="20"/>
                      <w:lang w:val="en-US"/>
                    </w:rPr>
                  </w:pPr>
                  <w:r w:rsidRPr="009E52FF">
                    <w:rPr>
                      <w:color w:val="1226AA"/>
                      <w:sz w:val="20"/>
                      <w:szCs w:val="20"/>
                      <w:lang w:val="en-US"/>
                    </w:rPr>
                    <w:t xml:space="preserve">These policy implications are highly relevant to today's world. We're facing multiple layers of uncertainty − from geopolitical tensions, green transition challenges, technological disruptions to renewed trade protectionism. In short, effective policy under uncertainty requires differentiation: by type of shock, by state of the economy, and by the scale and persistence of the disruption, with explicit attention to the non-linearities and feedback loops they generate.  </w:t>
                  </w:r>
                </w:p>
                <w:p w14:paraId="022E4CDD" w14:textId="77777777" w:rsidR="003A5892" w:rsidRPr="009E52FF" w:rsidRDefault="003A5892" w:rsidP="003A5892">
                  <w:pPr>
                    <w:jc w:val="both"/>
                    <w:rPr>
                      <w:color w:val="1226AA"/>
                      <w:sz w:val="20"/>
                      <w:szCs w:val="20"/>
                      <w:lang w:val="en-US"/>
                    </w:rPr>
                  </w:pPr>
                </w:p>
                <w:p w14:paraId="454770AF" w14:textId="2DA9D28D" w:rsidR="003A5892" w:rsidRPr="00CA09CC" w:rsidRDefault="003A5892" w:rsidP="003A5892">
                  <w:pPr>
                    <w:jc w:val="both"/>
                    <w:rPr>
                      <w:i/>
                      <w:iCs/>
                      <w:color w:val="1226AA"/>
                      <w:sz w:val="20"/>
                      <w:szCs w:val="20"/>
                      <w:lang w:val="en-US"/>
                    </w:rPr>
                  </w:pPr>
                  <w:r w:rsidRPr="00CA09CC">
                    <w:rPr>
                      <w:i/>
                      <w:iCs/>
                      <w:color w:val="1226AA"/>
                      <w:sz w:val="20"/>
                      <w:szCs w:val="20"/>
                      <w:lang w:val="en-US"/>
                    </w:rPr>
                    <w:t>How does this relate to DNB policy</w:t>
                  </w:r>
                  <w:r w:rsidR="00913E9C" w:rsidRPr="00CA09CC">
                    <w:rPr>
                      <w:i/>
                      <w:iCs/>
                      <w:color w:val="1226AA"/>
                      <w:sz w:val="20"/>
                      <w:szCs w:val="20"/>
                      <w:lang w:val="en-US"/>
                    </w:rPr>
                    <w:t>?</w:t>
                  </w:r>
                  <w:r w:rsidRPr="00CA09CC">
                    <w:rPr>
                      <w:i/>
                      <w:iCs/>
                      <w:color w:val="1226AA"/>
                      <w:sz w:val="20"/>
                      <w:szCs w:val="20"/>
                      <w:lang w:val="en-US"/>
                    </w:rPr>
                    <w:t xml:space="preserve"> </w:t>
                  </w:r>
                </w:p>
                <w:p w14:paraId="7729EAB7" w14:textId="5B61ADC1" w:rsidR="003A5892" w:rsidRPr="009E52FF" w:rsidRDefault="00913E9C" w:rsidP="003A5892">
                  <w:pPr>
                    <w:jc w:val="both"/>
                    <w:rPr>
                      <w:color w:val="1226AA"/>
                      <w:sz w:val="20"/>
                      <w:szCs w:val="20"/>
                      <w:lang w:val="en-US"/>
                    </w:rPr>
                  </w:pPr>
                  <w:r>
                    <w:rPr>
                      <w:color w:val="1226AA"/>
                      <w:sz w:val="20"/>
                      <w:szCs w:val="20"/>
                      <w:lang w:val="en-US"/>
                    </w:rPr>
                    <w:t xml:space="preserve">Andra: </w:t>
                  </w:r>
                  <w:r w:rsidR="000028E3">
                    <w:rPr>
                      <w:color w:val="1226AA"/>
                      <w:sz w:val="20"/>
                      <w:szCs w:val="20"/>
                      <w:lang w:val="en-US"/>
                    </w:rPr>
                    <w:t>M</w:t>
                  </w:r>
                  <w:r w:rsidR="003A5892" w:rsidRPr="009E52FF">
                    <w:rPr>
                      <w:color w:val="1226AA"/>
                      <w:sz w:val="20"/>
                      <w:szCs w:val="20"/>
                      <w:lang w:val="en-US"/>
                    </w:rPr>
                    <w:t xml:space="preserve">y thesis has a clear policy focus, combining theoretical models and empirical evidence to help inform various policy discussions. For example, some of the insights from chapter five on the impact of global supply chain pressures on the recent surge in euro area inflation featured in a speech by Governor Klaas Knot.  </w:t>
                  </w:r>
                </w:p>
                <w:p w14:paraId="1E1E689E" w14:textId="77777777" w:rsidR="003A5892" w:rsidRPr="009E52FF" w:rsidRDefault="003A5892" w:rsidP="003A5892">
                  <w:pPr>
                    <w:jc w:val="both"/>
                    <w:rPr>
                      <w:color w:val="1226AA"/>
                      <w:sz w:val="20"/>
                      <w:szCs w:val="20"/>
                      <w:lang w:val="en-US"/>
                    </w:rPr>
                  </w:pPr>
                </w:p>
                <w:p w14:paraId="0FA02BE0" w14:textId="77777777" w:rsidR="003A5892" w:rsidRPr="00CA09CC" w:rsidRDefault="003A5892" w:rsidP="003A5892">
                  <w:pPr>
                    <w:jc w:val="both"/>
                    <w:rPr>
                      <w:i/>
                      <w:iCs/>
                      <w:color w:val="1226AA"/>
                      <w:sz w:val="20"/>
                      <w:szCs w:val="20"/>
                      <w:lang w:val="en-US"/>
                    </w:rPr>
                  </w:pPr>
                  <w:r w:rsidRPr="00CA09CC">
                    <w:rPr>
                      <w:i/>
                      <w:iCs/>
                      <w:color w:val="1226AA"/>
                      <w:sz w:val="20"/>
                      <w:szCs w:val="20"/>
                      <w:lang w:val="en-US"/>
                    </w:rPr>
                    <w:t xml:space="preserve">What are you going to do next?  </w:t>
                  </w:r>
                </w:p>
                <w:p w14:paraId="266D52A2" w14:textId="77777777" w:rsidR="00913E9C" w:rsidRDefault="00913E9C" w:rsidP="003A5892">
                  <w:pPr>
                    <w:jc w:val="both"/>
                    <w:rPr>
                      <w:color w:val="1226AA"/>
                      <w:sz w:val="20"/>
                      <w:szCs w:val="20"/>
                      <w:lang w:val="en-US"/>
                    </w:rPr>
                  </w:pPr>
                  <w:r>
                    <w:rPr>
                      <w:color w:val="1226AA"/>
                      <w:sz w:val="20"/>
                      <w:szCs w:val="20"/>
                      <w:lang w:val="en-US"/>
                    </w:rPr>
                    <w:t xml:space="preserve">Andra: </w:t>
                  </w:r>
                  <w:r w:rsidR="003A5892" w:rsidRPr="009E52FF">
                    <w:rPr>
                      <w:color w:val="1226AA"/>
                      <w:sz w:val="20"/>
                      <w:szCs w:val="20"/>
                      <w:lang w:val="en-US"/>
                    </w:rPr>
                    <w:t>As part of the econometrics and modelling team, I will continue focusing on research and working on expanding the DNB’s suite of models alongside many talented colleagues.</w:t>
                  </w:r>
                </w:p>
                <w:p w14:paraId="24E93544" w14:textId="62433F92" w:rsidR="00FC6FF6" w:rsidRPr="009E52FF" w:rsidRDefault="00FC6FF6" w:rsidP="008348D5">
                  <w:pPr>
                    <w:jc w:val="both"/>
                    <w:rPr>
                      <w:color w:val="1226AA"/>
                      <w:sz w:val="20"/>
                      <w:szCs w:val="20"/>
                      <w:lang w:val="en-US"/>
                    </w:rPr>
                  </w:pPr>
                  <w:r w:rsidRPr="009E52FF">
                    <w:rPr>
                      <w:b/>
                      <w:bCs/>
                      <w:color w:val="1226AA"/>
                      <w:sz w:val="20"/>
                      <w:szCs w:val="20"/>
                      <w:lang w:val="en-US"/>
                    </w:rPr>
                    <w:t>Read more?</w:t>
                  </w:r>
                  <w:r w:rsidRPr="009E52FF">
                    <w:rPr>
                      <w:color w:val="1226AA"/>
                      <w:sz w:val="20"/>
                      <w:szCs w:val="20"/>
                      <w:lang w:val="en-US"/>
                    </w:rPr>
                    <w:t xml:space="preserve"> </w:t>
                  </w:r>
                </w:p>
                <w:p w14:paraId="67A97455" w14:textId="2E91379C" w:rsidR="003A5892" w:rsidRPr="009E52FF" w:rsidRDefault="003A5892" w:rsidP="00FC6FF6">
                  <w:pPr>
                    <w:rPr>
                      <w:color w:val="1226AA"/>
                      <w:sz w:val="20"/>
                      <w:szCs w:val="20"/>
                      <w:lang w:val="en-US"/>
                    </w:rPr>
                  </w:pPr>
                  <w:r w:rsidRPr="009E52FF">
                    <w:rPr>
                      <w:color w:val="1226AA"/>
                      <w:sz w:val="20"/>
                      <w:szCs w:val="20"/>
                      <w:lang w:val="en-US"/>
                    </w:rPr>
                    <w:t xml:space="preserve">You can </w:t>
                  </w:r>
                  <w:hyperlink r:id="rId49" w:tgtFrame="_blank" w:history="1">
                    <w:r w:rsidRPr="009E52FF">
                      <w:rPr>
                        <w:rStyle w:val="Hyperlink"/>
                        <w:sz w:val="20"/>
                        <w:szCs w:val="20"/>
                        <w:lang w:val="en-US"/>
                      </w:rPr>
                      <w:t>download</w:t>
                    </w:r>
                  </w:hyperlink>
                  <w:r w:rsidRPr="009E52FF">
                    <w:rPr>
                      <w:color w:val="1226AA"/>
                      <w:sz w:val="20"/>
                      <w:szCs w:val="20"/>
                      <w:lang w:val="en-US"/>
                    </w:rPr>
                    <w:t xml:space="preserve"> Andra’s PhD thesis</w:t>
                  </w:r>
                  <w:r w:rsidR="00913E9C">
                    <w:rPr>
                      <w:color w:val="1226AA"/>
                      <w:sz w:val="20"/>
                      <w:szCs w:val="20"/>
                      <w:lang w:val="en-US"/>
                    </w:rPr>
                    <w:t>.</w:t>
                  </w:r>
                </w:p>
                <w:p w14:paraId="0B95633C" w14:textId="61F18487" w:rsidR="005A582B" w:rsidRPr="009E52FF" w:rsidRDefault="005A582B" w:rsidP="005A582B">
                  <w:pPr>
                    <w:jc w:val="both"/>
                    <w:rPr>
                      <w:rStyle w:val="Hyperlink"/>
                      <w:sz w:val="20"/>
                      <w:szCs w:val="20"/>
                      <w:lang w:val="en-US"/>
                    </w:rPr>
                  </w:pPr>
                  <w:r w:rsidRPr="009E52FF">
                    <w:rPr>
                      <w:sz w:val="20"/>
                      <w:szCs w:val="20"/>
                      <w:lang w:val="en-US"/>
                    </w:rPr>
                    <w:fldChar w:fldCharType="begin"/>
                  </w:r>
                  <w:r w:rsidR="00FE668D">
                    <w:rPr>
                      <w:sz w:val="20"/>
                      <w:szCs w:val="20"/>
                      <w:lang w:val="en-US"/>
                    </w:rPr>
                    <w:instrText>HYPERLINK  \l "R5top"</w:instrText>
                  </w:r>
                  <w:r w:rsidRPr="009E52FF">
                    <w:rPr>
                      <w:sz w:val="20"/>
                      <w:szCs w:val="20"/>
                      <w:lang w:val="en-US"/>
                    </w:rPr>
                  </w:r>
                  <w:r w:rsidRPr="009E52FF">
                    <w:rPr>
                      <w:sz w:val="20"/>
                      <w:szCs w:val="20"/>
                      <w:lang w:val="en-US"/>
                    </w:rPr>
                    <w:fldChar w:fldCharType="separate"/>
                  </w:r>
                  <w:r w:rsidRPr="009E52FF">
                    <w:rPr>
                      <w:rStyle w:val="Hyperlink"/>
                      <w:sz w:val="20"/>
                      <w:szCs w:val="20"/>
                      <w:lang w:val="en-US"/>
                    </w:rPr>
                    <w:t xml:space="preserve">Go to the </w:t>
                  </w:r>
                  <w:r w:rsidR="007F38E7">
                    <w:rPr>
                      <w:rStyle w:val="Hyperlink"/>
                      <w:sz w:val="20"/>
                      <w:szCs w:val="20"/>
                      <w:lang w:val="en-US"/>
                    </w:rPr>
                    <w:t>t</w:t>
                  </w:r>
                  <w:r w:rsidRPr="009E52FF">
                    <w:rPr>
                      <w:rStyle w:val="Hyperlink"/>
                      <w:sz w:val="20"/>
                      <w:szCs w:val="20"/>
                      <w:lang w:val="en-US"/>
                    </w:rPr>
                    <w:t>op</w:t>
                  </w:r>
                </w:p>
                <w:p w14:paraId="42D52B37" w14:textId="3A498E40" w:rsidR="00FC6FF6" w:rsidRPr="009E52FF" w:rsidRDefault="005A582B" w:rsidP="00FC6FF6">
                  <w:pPr>
                    <w:rPr>
                      <w:color w:val="1226AA"/>
                      <w:sz w:val="20"/>
                      <w:szCs w:val="20"/>
                      <w:lang w:val="en-US"/>
                    </w:rPr>
                  </w:pPr>
                  <w:r w:rsidRPr="009E52FF">
                    <w:rPr>
                      <w:sz w:val="20"/>
                      <w:szCs w:val="20"/>
                      <w:lang w:val="en-US"/>
                    </w:rPr>
                    <w:fldChar w:fldCharType="end"/>
                  </w:r>
                  <w:r w:rsidR="00FC6FF6" w:rsidRPr="009E52FF">
                    <w:rPr>
                      <w:color w:val="1226AA"/>
                      <w:sz w:val="20"/>
                      <w:szCs w:val="20"/>
                      <w:lang w:val="en-US"/>
                    </w:rPr>
                    <w:br/>
                  </w:r>
                </w:p>
                <w:p w14:paraId="5BD56DB2" w14:textId="77777777" w:rsidR="00F75762" w:rsidRPr="009E52FF" w:rsidRDefault="00F75762" w:rsidP="00F84EB3">
                  <w:pPr>
                    <w:spacing w:line="240" w:lineRule="auto"/>
                    <w:rPr>
                      <w:color w:val="1226AA"/>
                      <w:sz w:val="20"/>
                      <w:szCs w:val="20"/>
                      <w:lang w:val="en-US"/>
                    </w:rPr>
                  </w:pPr>
                  <w:r w:rsidRPr="009E52FF">
                    <w:rPr>
                      <w:color w:val="1226AA"/>
                      <w:sz w:val="20"/>
                      <w:szCs w:val="20"/>
                      <w:lang w:val="en-US"/>
                    </w:rPr>
                    <w:t xml:space="preserve">Contact: </w:t>
                  </w:r>
                  <w:hyperlink r:id="rId50" w:history="1">
                    <w:r w:rsidRPr="009E52FF">
                      <w:rPr>
                        <w:rStyle w:val="Hyperlink"/>
                        <w:sz w:val="20"/>
                        <w:szCs w:val="20"/>
                        <w:lang w:val="en-US"/>
                      </w:rPr>
                      <w:t>Office.ebo@dnb.nl</w:t>
                    </w:r>
                  </w:hyperlink>
                </w:p>
                <w:p w14:paraId="25DE1FF4" w14:textId="77777777" w:rsidR="00F75762" w:rsidRPr="009E52FF" w:rsidRDefault="00F75762" w:rsidP="00F84EB3">
                  <w:pPr>
                    <w:spacing w:line="240" w:lineRule="auto"/>
                    <w:rPr>
                      <w:color w:val="1226AA"/>
                      <w:sz w:val="20"/>
                      <w:szCs w:val="20"/>
                      <w:lang w:val="en-US"/>
                    </w:rPr>
                  </w:pPr>
                </w:p>
                <w:tbl>
                  <w:tblPr>
                    <w:tblW w:w="5000" w:type="pct"/>
                    <w:shd w:val="clear" w:color="auto" w:fill="44287F"/>
                    <w:tblCellMar>
                      <w:left w:w="0" w:type="dxa"/>
                      <w:right w:w="0" w:type="dxa"/>
                    </w:tblCellMar>
                    <w:tblLook w:val="04A0" w:firstRow="1" w:lastRow="0" w:firstColumn="1" w:lastColumn="0" w:noHBand="0" w:noVBand="1"/>
                  </w:tblPr>
                  <w:tblGrid>
                    <w:gridCol w:w="2780"/>
                    <w:gridCol w:w="2781"/>
                    <w:gridCol w:w="2161"/>
                  </w:tblGrid>
                  <w:tr w:rsidR="00F75762" w:rsidRPr="009E52FF" w14:paraId="68356CDE" w14:textId="77777777" w:rsidTr="00F84EB3">
                    <w:trPr>
                      <w:trHeight w:val="113"/>
                    </w:trPr>
                    <w:tc>
                      <w:tcPr>
                        <w:tcW w:w="1800" w:type="pct"/>
                        <w:shd w:val="clear" w:color="auto" w:fill="73C2FA"/>
                        <w:tcMar>
                          <w:top w:w="170" w:type="dxa"/>
                          <w:left w:w="340" w:type="dxa"/>
                        </w:tcMar>
                      </w:tcPr>
                      <w:p w14:paraId="557CA8C2" w14:textId="77777777" w:rsidR="00F75762" w:rsidRPr="009E52FF" w:rsidRDefault="00F75762" w:rsidP="00F84EB3">
                        <w:pPr>
                          <w:spacing w:line="240" w:lineRule="auto"/>
                          <w:rPr>
                            <w:b/>
                            <w:color w:val="FEFEFE"/>
                            <w:sz w:val="20"/>
                            <w:szCs w:val="20"/>
                            <w:lang w:val="en-US"/>
                            <w14:textFill>
                              <w14:solidFill>
                                <w14:srgbClr w14:val="FEFEFE">
                                  <w14:alpha w14:val="30000"/>
                                </w14:srgbClr>
                              </w14:solidFill>
                            </w14:textFill>
                          </w:rPr>
                        </w:pPr>
                      </w:p>
                    </w:tc>
                    <w:tc>
                      <w:tcPr>
                        <w:tcW w:w="1801" w:type="pct"/>
                        <w:shd w:val="clear" w:color="auto" w:fill="73C2FA"/>
                      </w:tcPr>
                      <w:p w14:paraId="2A630181" w14:textId="77777777" w:rsidR="00F75762" w:rsidRPr="009E52FF" w:rsidRDefault="00F75762" w:rsidP="00F84EB3">
                        <w:pPr>
                          <w:rPr>
                            <w:b/>
                            <w:color w:val="FEFEFE"/>
                            <w:sz w:val="20"/>
                            <w:szCs w:val="20"/>
                            <w:lang w:val="en-US"/>
                            <w14:textFill>
                              <w14:solidFill>
                                <w14:srgbClr w14:val="FEFEFE">
                                  <w14:alpha w14:val="30000"/>
                                </w14:srgbClr>
                              </w14:solidFill>
                            </w14:textFill>
                          </w:rPr>
                        </w:pPr>
                      </w:p>
                    </w:tc>
                    <w:tc>
                      <w:tcPr>
                        <w:tcW w:w="1399" w:type="pct"/>
                        <w:shd w:val="clear" w:color="auto" w:fill="73C2FA"/>
                      </w:tcPr>
                      <w:p w14:paraId="333D8256" w14:textId="77777777" w:rsidR="00F75762" w:rsidRPr="009E52FF" w:rsidRDefault="00F75762" w:rsidP="00F84EB3">
                        <w:pPr>
                          <w:rPr>
                            <w:b/>
                            <w:color w:val="FEFEFE"/>
                            <w:sz w:val="20"/>
                            <w:szCs w:val="20"/>
                            <w:lang w:val="en-US"/>
                            <w14:textFill>
                              <w14:solidFill>
                                <w14:srgbClr w14:val="FEFEFE">
                                  <w14:alpha w14:val="30000"/>
                                </w14:srgbClr>
                              </w14:solidFill>
                            </w14:textFill>
                          </w:rPr>
                        </w:pPr>
                      </w:p>
                      <w:p w14:paraId="59BDFA3A" w14:textId="77777777" w:rsidR="00F75762" w:rsidRPr="009E52FF" w:rsidRDefault="00F75762" w:rsidP="00F84EB3">
                        <w:pPr>
                          <w:rPr>
                            <w:b/>
                            <w:color w:val="FEFEFE"/>
                            <w:sz w:val="20"/>
                            <w:szCs w:val="20"/>
                            <w14:textFill>
                              <w14:solidFill>
                                <w14:srgbClr w14:val="FEFEFE">
                                  <w14:alpha w14:val="30000"/>
                                </w14:srgbClr>
                              </w14:solidFill>
                            </w14:textFill>
                          </w:rPr>
                        </w:pPr>
                        <w:r w:rsidRPr="009E52FF">
                          <w:rPr>
                            <w:b/>
                            <w:noProof/>
                            <w:color w:val="FEFEFE"/>
                            <w:sz w:val="20"/>
                            <w:szCs w:val="20"/>
                            <w:lang w:eastAsia="nl-NL"/>
                            <w14:textFill>
                              <w14:solidFill>
                                <w14:srgbClr w14:val="FEFEFE">
                                  <w14:alpha w14:val="30000"/>
                                </w14:srgbClr>
                              </w14:solidFill>
                            </w14:textFill>
                          </w:rPr>
                          <w:drawing>
                            <wp:inline distT="0" distB="0" distL="0" distR="0" wp14:anchorId="262DF6D9" wp14:editId="58CD2957">
                              <wp:extent cx="1241453" cy="458815"/>
                              <wp:effectExtent l="0" t="0" r="0" b="0"/>
                              <wp:docPr id="3" name="Afbeelding 3" descr="R:\Projecten\372_TID_DNB_DIRECT\van_dnb\20160701logo\Logo_DNB_150dpi_w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Projecten\372_TID_DNB_DIRECT\van_dnb\20160701logo\Logo_DNB_150dpi_wit.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411444" cy="521640"/>
                                      </a:xfrm>
                                      <a:prstGeom prst="rect">
                                        <a:avLst/>
                                      </a:prstGeom>
                                      <a:noFill/>
                                      <a:ln>
                                        <a:noFill/>
                                      </a:ln>
                                    </pic:spPr>
                                  </pic:pic>
                                </a:graphicData>
                              </a:graphic>
                            </wp:inline>
                          </w:drawing>
                        </w:r>
                      </w:p>
                    </w:tc>
                  </w:tr>
                  <w:tr w:rsidR="00F75762" w:rsidRPr="009E52FF" w14:paraId="2CBF9F87" w14:textId="77777777" w:rsidTr="00F84EB3">
                    <w:tc>
                      <w:tcPr>
                        <w:tcW w:w="5000" w:type="pct"/>
                        <w:gridSpan w:val="3"/>
                        <w:shd w:val="clear" w:color="auto" w:fill="1226AA"/>
                        <w:tcMar>
                          <w:top w:w="170" w:type="dxa"/>
                          <w:left w:w="170" w:type="dxa"/>
                          <w:bottom w:w="170" w:type="dxa"/>
                        </w:tcMar>
                      </w:tcPr>
                      <w:p w14:paraId="649E6CC5" w14:textId="77777777" w:rsidR="00F75762" w:rsidRPr="009E52FF" w:rsidRDefault="00F75762" w:rsidP="00F84EB3">
                        <w:pPr>
                          <w:spacing w:line="240" w:lineRule="auto"/>
                          <w:rPr>
                            <w:color w:val="FEFEFE"/>
                            <w:sz w:val="20"/>
                            <w:szCs w:val="20"/>
                          </w:rPr>
                        </w:pPr>
                      </w:p>
                    </w:tc>
                  </w:tr>
                </w:tbl>
                <w:p w14:paraId="4E57CF57" w14:textId="77777777" w:rsidR="00F75762" w:rsidRPr="009E52FF" w:rsidRDefault="00F75762" w:rsidP="00F84EB3">
                  <w:pPr>
                    <w:rPr>
                      <w:sz w:val="20"/>
                      <w:szCs w:val="20"/>
                    </w:rPr>
                  </w:pPr>
                </w:p>
              </w:tc>
            </w:tr>
            <w:tr w:rsidR="00F75762" w:rsidRPr="009E52FF" w14:paraId="0DD74BE7" w14:textId="77777777" w:rsidTr="00F84EB3">
              <w:tc>
                <w:tcPr>
                  <w:tcW w:w="5000" w:type="pct"/>
                  <w:shd w:val="clear" w:color="auto" w:fill="auto"/>
                </w:tcPr>
                <w:p w14:paraId="1371BFC9" w14:textId="77777777" w:rsidR="00F75762" w:rsidRPr="009E52FF" w:rsidRDefault="00F75762" w:rsidP="00F84EB3">
                  <w:pPr>
                    <w:rPr>
                      <w:color w:val="FEFEFE"/>
                      <w:sz w:val="20"/>
                      <w:szCs w:val="20"/>
                      <w:lang w:val="en-US"/>
                    </w:rPr>
                  </w:pPr>
                </w:p>
              </w:tc>
            </w:tr>
          </w:tbl>
          <w:p w14:paraId="17879425" w14:textId="77777777" w:rsidR="00F75762" w:rsidRPr="009E52FF" w:rsidRDefault="00F75762" w:rsidP="00F84EB3">
            <w:pPr>
              <w:rPr>
                <w:sz w:val="20"/>
                <w:szCs w:val="20"/>
                <w:lang w:val="en-US"/>
              </w:rPr>
            </w:pPr>
          </w:p>
        </w:tc>
      </w:tr>
      <w:bookmarkEnd w:id="0"/>
      <w:bookmarkEnd w:id="1"/>
    </w:tbl>
    <w:p w14:paraId="22FB2BB6" w14:textId="77777777" w:rsidR="00F75762" w:rsidRPr="009E52FF" w:rsidRDefault="00F75762" w:rsidP="003A51C5">
      <w:pPr>
        <w:rPr>
          <w:sz w:val="20"/>
          <w:szCs w:val="20"/>
          <w:lang w:val="en-US"/>
        </w:rPr>
      </w:pPr>
    </w:p>
    <w:sectPr w:rsidR="00F75762" w:rsidRPr="009E52FF" w:rsidSect="007F0F1E">
      <w:pgSz w:w="11906" w:h="16838" w:code="9"/>
      <w:pgMar w:top="1418" w:right="1985"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4pt;height:19.4pt;visibility:visible;mso-wrap-style:square" o:bullet="t">
        <v:imagedata r:id="rId1" o:title=""/>
      </v:shape>
    </w:pict>
  </w:numPicBullet>
  <w:numPicBullet w:numPicBulletId="1">
    <w:pict>
      <v:shape id="_x0000_i1027" type="#_x0000_t75" style="width:12.5pt;height:12.5pt;visibility:visible;mso-wrap-style:square" o:bullet="t">
        <v:imagedata r:id="rId2" o:title=""/>
      </v:shape>
    </w:pict>
  </w:numPicBullet>
  <w:numPicBullet w:numPicBulletId="2">
    <w:pict>
      <v:shape id="_x0000_i1028" type="#_x0000_t75" style="width:8.75pt;height:8.75pt;visibility:visible;mso-wrap-style:square" o:bullet="t">
        <v:imagedata r:id="rId3" o:title=""/>
      </v:shape>
    </w:pict>
  </w:numPicBullet>
  <w:numPicBullet w:numPicBulletId="3">
    <w:pict>
      <v:shape id="_x0000_i1029" type="#_x0000_t75" style="width:10pt;height:10pt;visibility:visible;mso-wrap-style:square" o:bullet="t">
        <v:imagedata r:id="rId4" o:title=""/>
      </v:shape>
    </w:pict>
  </w:numPicBullet>
  <w:numPicBullet w:numPicBulletId="4">
    <w:pict>
      <v:shape id="_x0000_i1030" type="#_x0000_t75" style="width:8.75pt;height:8.75pt;visibility:visible;mso-wrap-style:square" o:bullet="t">
        <v:imagedata r:id="rId5" o:title=""/>
      </v:shape>
    </w:pict>
  </w:numPicBullet>
  <w:numPicBullet w:numPicBulletId="5">
    <w:pict>
      <v:shape id="_x0000_i1031" type="#_x0000_t75" style="width:7.5pt;height:7.5pt;visibility:visible;mso-wrap-style:square" o:bullet="t">
        <v:imagedata r:id="rId6" o:title=""/>
      </v:shape>
    </w:pict>
  </w:numPicBullet>
  <w:numPicBullet w:numPicBulletId="6">
    <w:pict>
      <v:shape id="_x0000_i1032" type="#_x0000_t75" style="width:6.25pt;height:6.25pt;visibility:visible;mso-wrap-style:square" o:bullet="t">
        <v:imagedata r:id="rId7" o:title=""/>
      </v:shape>
    </w:pict>
  </w:numPicBullet>
  <w:abstractNum w:abstractNumId="0" w15:restartNumberingAfterBreak="0">
    <w:nsid w:val="FFFFFF7C"/>
    <w:multiLevelType w:val="singleLevel"/>
    <w:tmpl w:val="C38EADD8"/>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21BEBFCC"/>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180A4D8"/>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C0A83CA"/>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EF2AC11A"/>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CA256C"/>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A81A96"/>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8ABE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5CA93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492CB16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BA60482"/>
    <w:multiLevelType w:val="hybridMultilevel"/>
    <w:tmpl w:val="209668EC"/>
    <w:lvl w:ilvl="0" w:tplc="A1F0F238">
      <w:start w:val="1"/>
      <w:numFmt w:val="bullet"/>
      <w:lvlText w:val="–"/>
      <w:lvlJc w:val="left"/>
      <w:pPr>
        <w:ind w:left="360" w:hanging="360"/>
      </w:pPr>
      <w:rPr>
        <w:rFonts w:ascii="Verdana" w:hAnsi="Verdana" w:hint="default"/>
        <w:b/>
        <w:i w:val="0"/>
        <w:color w:val="1226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0455CDE"/>
    <w:multiLevelType w:val="hybridMultilevel"/>
    <w:tmpl w:val="DAF816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31A0302"/>
    <w:multiLevelType w:val="hybridMultilevel"/>
    <w:tmpl w:val="9E944272"/>
    <w:lvl w:ilvl="0" w:tplc="E93A0C70">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17F4B98"/>
    <w:multiLevelType w:val="multilevel"/>
    <w:tmpl w:val="658056C8"/>
    <w:lvl w:ilvl="0">
      <w:start w:val="1"/>
      <w:numFmt w:val="bullet"/>
      <w:lvlText w:val="–"/>
      <w:lvlJc w:val="left"/>
      <w:pPr>
        <w:ind w:left="360" w:hanging="360"/>
      </w:pPr>
      <w:rPr>
        <w:rFonts w:ascii="Verdana" w:hAnsi="Verdana" w:hint="default"/>
        <w:b/>
        <w:i w:val="0"/>
        <w:color w:val="1226AA"/>
        <w:sz w:val="20"/>
      </w:rPr>
    </w:lvl>
    <w:lvl w:ilvl="1">
      <w:start w:val="1"/>
      <w:numFmt w:val="bullet"/>
      <w:lvlText w:val="o"/>
      <w:lvlJc w:val="left"/>
      <w:pPr>
        <w:ind w:left="500" w:firstLine="0"/>
      </w:pPr>
      <w:rPr>
        <w:rFonts w:ascii="Courier New" w:hAnsi="Courier New" w:cs="Courier New" w:hint="default"/>
      </w:rPr>
    </w:lvl>
    <w:lvl w:ilvl="2">
      <w:start w:val="1"/>
      <w:numFmt w:val="bullet"/>
      <w:lvlText w:val=""/>
      <w:lvlJc w:val="left"/>
      <w:pPr>
        <w:ind w:left="750" w:firstLine="0"/>
      </w:pPr>
      <w:rPr>
        <w:rFonts w:ascii="Wingdings" w:hAnsi="Wingdings" w:hint="default"/>
      </w:rPr>
    </w:lvl>
    <w:lvl w:ilvl="3">
      <w:start w:val="1"/>
      <w:numFmt w:val="bullet"/>
      <w:lvlText w:val=""/>
      <w:lvlJc w:val="left"/>
      <w:pPr>
        <w:ind w:left="1000" w:firstLine="0"/>
      </w:pPr>
      <w:rPr>
        <w:rFonts w:ascii="Symbol" w:hAnsi="Symbol" w:hint="default"/>
      </w:rPr>
    </w:lvl>
    <w:lvl w:ilvl="4">
      <w:start w:val="1"/>
      <w:numFmt w:val="bullet"/>
      <w:lvlText w:val="o"/>
      <w:lvlJc w:val="left"/>
      <w:pPr>
        <w:ind w:left="1250" w:firstLine="0"/>
      </w:pPr>
      <w:rPr>
        <w:rFonts w:ascii="Courier New" w:hAnsi="Courier New" w:cs="Courier New" w:hint="default"/>
      </w:rPr>
    </w:lvl>
    <w:lvl w:ilvl="5">
      <w:start w:val="1"/>
      <w:numFmt w:val="bullet"/>
      <w:lvlText w:val=""/>
      <w:lvlJc w:val="left"/>
      <w:pPr>
        <w:ind w:left="1500" w:firstLine="0"/>
      </w:pPr>
      <w:rPr>
        <w:rFonts w:ascii="Wingdings" w:hAnsi="Wingdings" w:hint="default"/>
      </w:rPr>
    </w:lvl>
    <w:lvl w:ilvl="6">
      <w:start w:val="1"/>
      <w:numFmt w:val="bullet"/>
      <w:lvlText w:val=""/>
      <w:lvlJc w:val="left"/>
      <w:pPr>
        <w:ind w:left="1750" w:firstLine="0"/>
      </w:pPr>
      <w:rPr>
        <w:rFonts w:ascii="Symbol" w:hAnsi="Symbol" w:hint="default"/>
      </w:rPr>
    </w:lvl>
    <w:lvl w:ilvl="7">
      <w:start w:val="1"/>
      <w:numFmt w:val="bullet"/>
      <w:lvlText w:val="o"/>
      <w:lvlJc w:val="left"/>
      <w:pPr>
        <w:ind w:left="2000" w:firstLine="0"/>
      </w:pPr>
      <w:rPr>
        <w:rFonts w:ascii="Courier New" w:hAnsi="Courier New" w:cs="Courier New" w:hint="default"/>
      </w:rPr>
    </w:lvl>
    <w:lvl w:ilvl="8">
      <w:start w:val="1"/>
      <w:numFmt w:val="bullet"/>
      <w:lvlText w:val=""/>
      <w:lvlJc w:val="left"/>
      <w:pPr>
        <w:ind w:left="2250" w:firstLine="0"/>
      </w:pPr>
      <w:rPr>
        <w:rFonts w:ascii="Wingdings" w:hAnsi="Wingdings" w:hint="default"/>
      </w:rPr>
    </w:lvl>
  </w:abstractNum>
  <w:abstractNum w:abstractNumId="14" w15:restartNumberingAfterBreak="0">
    <w:nsid w:val="3EC82CC6"/>
    <w:multiLevelType w:val="hybridMultilevel"/>
    <w:tmpl w:val="E3605EB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6C36B7E"/>
    <w:multiLevelType w:val="hybridMultilevel"/>
    <w:tmpl w:val="429E35F4"/>
    <w:lvl w:ilvl="0" w:tplc="FAF88114">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6CDA3125"/>
    <w:multiLevelType w:val="hybridMultilevel"/>
    <w:tmpl w:val="1442ABDA"/>
    <w:lvl w:ilvl="0" w:tplc="A1F0F238">
      <w:start w:val="1"/>
      <w:numFmt w:val="bullet"/>
      <w:lvlText w:val="–"/>
      <w:lvlJc w:val="left"/>
      <w:pPr>
        <w:ind w:left="720" w:hanging="360"/>
      </w:pPr>
      <w:rPr>
        <w:rFonts w:ascii="Verdana" w:hAnsi="Verdana" w:hint="default"/>
        <w:b/>
        <w:i w:val="0"/>
        <w:color w:val="1226A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70407902">
    <w:abstractNumId w:val="13"/>
  </w:num>
  <w:num w:numId="2" w16cid:durableId="587731895">
    <w:abstractNumId w:val="13"/>
  </w:num>
  <w:num w:numId="3" w16cid:durableId="1972785586">
    <w:abstractNumId w:val="16"/>
  </w:num>
  <w:num w:numId="4" w16cid:durableId="1569994096">
    <w:abstractNumId w:val="11"/>
  </w:num>
  <w:num w:numId="5" w16cid:durableId="2074429221">
    <w:abstractNumId w:val="10"/>
  </w:num>
  <w:num w:numId="6" w16cid:durableId="1773012789">
    <w:abstractNumId w:val="9"/>
  </w:num>
  <w:num w:numId="7" w16cid:durableId="596013581">
    <w:abstractNumId w:val="7"/>
  </w:num>
  <w:num w:numId="8" w16cid:durableId="1227454178">
    <w:abstractNumId w:val="6"/>
  </w:num>
  <w:num w:numId="9" w16cid:durableId="1778868599">
    <w:abstractNumId w:val="5"/>
  </w:num>
  <w:num w:numId="10" w16cid:durableId="167256595">
    <w:abstractNumId w:val="4"/>
  </w:num>
  <w:num w:numId="11" w16cid:durableId="53625213">
    <w:abstractNumId w:val="8"/>
  </w:num>
  <w:num w:numId="12" w16cid:durableId="1485659876">
    <w:abstractNumId w:val="3"/>
  </w:num>
  <w:num w:numId="13" w16cid:durableId="1642230616">
    <w:abstractNumId w:val="2"/>
  </w:num>
  <w:num w:numId="14" w16cid:durableId="109133030">
    <w:abstractNumId w:val="1"/>
  </w:num>
  <w:num w:numId="15" w16cid:durableId="32732627">
    <w:abstractNumId w:val="0"/>
  </w:num>
  <w:num w:numId="16" w16cid:durableId="1192721866">
    <w:abstractNumId w:val="14"/>
  </w:num>
  <w:num w:numId="17" w16cid:durableId="2063016724">
    <w:abstractNumId w:val="12"/>
  </w:num>
  <w:num w:numId="18" w16cid:durableId="4058795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1E1"/>
    <w:rsid w:val="000028E3"/>
    <w:rsid w:val="000101D9"/>
    <w:rsid w:val="00011792"/>
    <w:rsid w:val="000126F5"/>
    <w:rsid w:val="00012E8D"/>
    <w:rsid w:val="0001766D"/>
    <w:rsid w:val="00020C33"/>
    <w:rsid w:val="000224E1"/>
    <w:rsid w:val="000260A6"/>
    <w:rsid w:val="0003346C"/>
    <w:rsid w:val="00036182"/>
    <w:rsid w:val="00043EDC"/>
    <w:rsid w:val="00044252"/>
    <w:rsid w:val="00045B42"/>
    <w:rsid w:val="00046D94"/>
    <w:rsid w:val="00050430"/>
    <w:rsid w:val="00057FAA"/>
    <w:rsid w:val="00063166"/>
    <w:rsid w:val="00063436"/>
    <w:rsid w:val="00063A61"/>
    <w:rsid w:val="00065607"/>
    <w:rsid w:val="00071E61"/>
    <w:rsid w:val="00072288"/>
    <w:rsid w:val="000740B0"/>
    <w:rsid w:val="00074397"/>
    <w:rsid w:val="0007562C"/>
    <w:rsid w:val="00081420"/>
    <w:rsid w:val="00083DAF"/>
    <w:rsid w:val="00087D54"/>
    <w:rsid w:val="0009166B"/>
    <w:rsid w:val="000916F7"/>
    <w:rsid w:val="00091EDB"/>
    <w:rsid w:val="00096B8C"/>
    <w:rsid w:val="000A4976"/>
    <w:rsid w:val="000A5FF0"/>
    <w:rsid w:val="000A71CA"/>
    <w:rsid w:val="000B2A66"/>
    <w:rsid w:val="000B5288"/>
    <w:rsid w:val="000C1B3E"/>
    <w:rsid w:val="000D28CE"/>
    <w:rsid w:val="000D6A49"/>
    <w:rsid w:val="000E7C46"/>
    <w:rsid w:val="000F21C7"/>
    <w:rsid w:val="000F2B50"/>
    <w:rsid w:val="000F5017"/>
    <w:rsid w:val="000F5E08"/>
    <w:rsid w:val="000F6AB5"/>
    <w:rsid w:val="000F7E72"/>
    <w:rsid w:val="00101573"/>
    <w:rsid w:val="00101EC9"/>
    <w:rsid w:val="0010336F"/>
    <w:rsid w:val="00103B02"/>
    <w:rsid w:val="001118E0"/>
    <w:rsid w:val="00111CDF"/>
    <w:rsid w:val="00113682"/>
    <w:rsid w:val="00120A0B"/>
    <w:rsid w:val="00122629"/>
    <w:rsid w:val="00130A1A"/>
    <w:rsid w:val="00134B60"/>
    <w:rsid w:val="00135060"/>
    <w:rsid w:val="00147AD8"/>
    <w:rsid w:val="00147C0E"/>
    <w:rsid w:val="001504F9"/>
    <w:rsid w:val="00150D7B"/>
    <w:rsid w:val="001519CB"/>
    <w:rsid w:val="00157638"/>
    <w:rsid w:val="00170783"/>
    <w:rsid w:val="00170FE8"/>
    <w:rsid w:val="00173318"/>
    <w:rsid w:val="00175027"/>
    <w:rsid w:val="00177380"/>
    <w:rsid w:val="001905F9"/>
    <w:rsid w:val="00190718"/>
    <w:rsid w:val="00191F7D"/>
    <w:rsid w:val="00193572"/>
    <w:rsid w:val="001A5FE5"/>
    <w:rsid w:val="001A7AE5"/>
    <w:rsid w:val="001B1CCE"/>
    <w:rsid w:val="001B5E5D"/>
    <w:rsid w:val="001C22E8"/>
    <w:rsid w:val="001C31AB"/>
    <w:rsid w:val="001C4122"/>
    <w:rsid w:val="001D0DF3"/>
    <w:rsid w:val="001D701C"/>
    <w:rsid w:val="001E18F8"/>
    <w:rsid w:val="001E2506"/>
    <w:rsid w:val="001E565B"/>
    <w:rsid w:val="001F0786"/>
    <w:rsid w:val="001F1BC4"/>
    <w:rsid w:val="001F6510"/>
    <w:rsid w:val="001F74D9"/>
    <w:rsid w:val="00202B96"/>
    <w:rsid w:val="002031E1"/>
    <w:rsid w:val="00214B88"/>
    <w:rsid w:val="00215F35"/>
    <w:rsid w:val="0022511C"/>
    <w:rsid w:val="00226D26"/>
    <w:rsid w:val="00227C82"/>
    <w:rsid w:val="0024755E"/>
    <w:rsid w:val="00253C36"/>
    <w:rsid w:val="00255D3A"/>
    <w:rsid w:val="00255E73"/>
    <w:rsid w:val="00265C1D"/>
    <w:rsid w:val="00276820"/>
    <w:rsid w:val="00280CEB"/>
    <w:rsid w:val="00281651"/>
    <w:rsid w:val="00281709"/>
    <w:rsid w:val="00281795"/>
    <w:rsid w:val="0028185D"/>
    <w:rsid w:val="002846AA"/>
    <w:rsid w:val="0028501A"/>
    <w:rsid w:val="002916D7"/>
    <w:rsid w:val="00292194"/>
    <w:rsid w:val="002A0C24"/>
    <w:rsid w:val="002A1DFC"/>
    <w:rsid w:val="002A2B20"/>
    <w:rsid w:val="002A7177"/>
    <w:rsid w:val="002B4475"/>
    <w:rsid w:val="002C1960"/>
    <w:rsid w:val="002D5FDA"/>
    <w:rsid w:val="002F7045"/>
    <w:rsid w:val="002F792A"/>
    <w:rsid w:val="00303875"/>
    <w:rsid w:val="00303EAE"/>
    <w:rsid w:val="003117B6"/>
    <w:rsid w:val="00311C23"/>
    <w:rsid w:val="00313DBA"/>
    <w:rsid w:val="00314B3A"/>
    <w:rsid w:val="00314F75"/>
    <w:rsid w:val="00316B05"/>
    <w:rsid w:val="00321969"/>
    <w:rsid w:val="00322C3D"/>
    <w:rsid w:val="0032761B"/>
    <w:rsid w:val="00330F32"/>
    <w:rsid w:val="00334958"/>
    <w:rsid w:val="003363E1"/>
    <w:rsid w:val="003368D1"/>
    <w:rsid w:val="00337E8F"/>
    <w:rsid w:val="003441C6"/>
    <w:rsid w:val="00347188"/>
    <w:rsid w:val="0035716F"/>
    <w:rsid w:val="00357A33"/>
    <w:rsid w:val="003654BF"/>
    <w:rsid w:val="0036566C"/>
    <w:rsid w:val="00366061"/>
    <w:rsid w:val="00375126"/>
    <w:rsid w:val="00377B9E"/>
    <w:rsid w:val="00380829"/>
    <w:rsid w:val="00390B14"/>
    <w:rsid w:val="00395479"/>
    <w:rsid w:val="00397AC0"/>
    <w:rsid w:val="003A51C5"/>
    <w:rsid w:val="003A5892"/>
    <w:rsid w:val="003A6528"/>
    <w:rsid w:val="003A77DD"/>
    <w:rsid w:val="003B0048"/>
    <w:rsid w:val="003C4385"/>
    <w:rsid w:val="003C632B"/>
    <w:rsid w:val="003D29D8"/>
    <w:rsid w:val="003E01C8"/>
    <w:rsid w:val="003E36F6"/>
    <w:rsid w:val="003F22D4"/>
    <w:rsid w:val="004003FE"/>
    <w:rsid w:val="00402535"/>
    <w:rsid w:val="004058A8"/>
    <w:rsid w:val="0041018F"/>
    <w:rsid w:val="00417378"/>
    <w:rsid w:val="00417E0E"/>
    <w:rsid w:val="004238D6"/>
    <w:rsid w:val="00425AA1"/>
    <w:rsid w:val="004318A5"/>
    <w:rsid w:val="00432122"/>
    <w:rsid w:val="0043231C"/>
    <w:rsid w:val="0044613E"/>
    <w:rsid w:val="004465BC"/>
    <w:rsid w:val="00447DF4"/>
    <w:rsid w:val="004517E2"/>
    <w:rsid w:val="004547BF"/>
    <w:rsid w:val="0045591D"/>
    <w:rsid w:val="00456EA0"/>
    <w:rsid w:val="0046125D"/>
    <w:rsid w:val="00466F16"/>
    <w:rsid w:val="00471995"/>
    <w:rsid w:val="004837C2"/>
    <w:rsid w:val="00486867"/>
    <w:rsid w:val="00493FEE"/>
    <w:rsid w:val="004A0A36"/>
    <w:rsid w:val="004A286F"/>
    <w:rsid w:val="004A323F"/>
    <w:rsid w:val="004A7EA2"/>
    <w:rsid w:val="004B33D0"/>
    <w:rsid w:val="004B378D"/>
    <w:rsid w:val="004B3CAE"/>
    <w:rsid w:val="004B6C53"/>
    <w:rsid w:val="004C4D02"/>
    <w:rsid w:val="004D20C1"/>
    <w:rsid w:val="004D6994"/>
    <w:rsid w:val="004D7602"/>
    <w:rsid w:val="004E2EBB"/>
    <w:rsid w:val="004E7898"/>
    <w:rsid w:val="004E7D24"/>
    <w:rsid w:val="004F5C8F"/>
    <w:rsid w:val="004F5F7D"/>
    <w:rsid w:val="004F6926"/>
    <w:rsid w:val="004F7636"/>
    <w:rsid w:val="0051066F"/>
    <w:rsid w:val="0051199F"/>
    <w:rsid w:val="00511BB5"/>
    <w:rsid w:val="00511E9E"/>
    <w:rsid w:val="00514F62"/>
    <w:rsid w:val="0051693A"/>
    <w:rsid w:val="00523EF6"/>
    <w:rsid w:val="005254E3"/>
    <w:rsid w:val="00526EE2"/>
    <w:rsid w:val="0053543D"/>
    <w:rsid w:val="005355F9"/>
    <w:rsid w:val="00535CA0"/>
    <w:rsid w:val="00542CDA"/>
    <w:rsid w:val="00554F32"/>
    <w:rsid w:val="005567D7"/>
    <w:rsid w:val="00564D56"/>
    <w:rsid w:val="005657E4"/>
    <w:rsid w:val="005670C2"/>
    <w:rsid w:val="0056793C"/>
    <w:rsid w:val="00575AE0"/>
    <w:rsid w:val="00580DCC"/>
    <w:rsid w:val="005813F0"/>
    <w:rsid w:val="0058764A"/>
    <w:rsid w:val="005932D6"/>
    <w:rsid w:val="00594600"/>
    <w:rsid w:val="005965E3"/>
    <w:rsid w:val="005978CF"/>
    <w:rsid w:val="005A0DF9"/>
    <w:rsid w:val="005A4440"/>
    <w:rsid w:val="005A582B"/>
    <w:rsid w:val="005A6F7F"/>
    <w:rsid w:val="005B10FF"/>
    <w:rsid w:val="005B48C2"/>
    <w:rsid w:val="005C04F3"/>
    <w:rsid w:val="005C181C"/>
    <w:rsid w:val="005C2A63"/>
    <w:rsid w:val="005C7890"/>
    <w:rsid w:val="005C7F83"/>
    <w:rsid w:val="005D5087"/>
    <w:rsid w:val="005D64A2"/>
    <w:rsid w:val="005F2877"/>
    <w:rsid w:val="005F3C72"/>
    <w:rsid w:val="005F5C03"/>
    <w:rsid w:val="006144D9"/>
    <w:rsid w:val="00616A71"/>
    <w:rsid w:val="006279A6"/>
    <w:rsid w:val="00651D05"/>
    <w:rsid w:val="00652C4A"/>
    <w:rsid w:val="00653694"/>
    <w:rsid w:val="00654983"/>
    <w:rsid w:val="00655843"/>
    <w:rsid w:val="00657F9C"/>
    <w:rsid w:val="00661DD6"/>
    <w:rsid w:val="0066629C"/>
    <w:rsid w:val="0067060A"/>
    <w:rsid w:val="00670B59"/>
    <w:rsid w:val="006717B1"/>
    <w:rsid w:val="006766F2"/>
    <w:rsid w:val="00680316"/>
    <w:rsid w:val="00682247"/>
    <w:rsid w:val="00685A2C"/>
    <w:rsid w:val="00685A30"/>
    <w:rsid w:val="006940FF"/>
    <w:rsid w:val="006965CA"/>
    <w:rsid w:val="006A02BB"/>
    <w:rsid w:val="006A4C5A"/>
    <w:rsid w:val="006A797E"/>
    <w:rsid w:val="006D066D"/>
    <w:rsid w:val="006D30EA"/>
    <w:rsid w:val="006D4E58"/>
    <w:rsid w:val="006E0AEE"/>
    <w:rsid w:val="006E230A"/>
    <w:rsid w:val="006E4611"/>
    <w:rsid w:val="006E4FDB"/>
    <w:rsid w:val="006E56DB"/>
    <w:rsid w:val="006F0A2A"/>
    <w:rsid w:val="00713CA1"/>
    <w:rsid w:val="007166D2"/>
    <w:rsid w:val="00716F2F"/>
    <w:rsid w:val="007172BB"/>
    <w:rsid w:val="00723762"/>
    <w:rsid w:val="00723E14"/>
    <w:rsid w:val="00726498"/>
    <w:rsid w:val="0073320C"/>
    <w:rsid w:val="007334FC"/>
    <w:rsid w:val="00735823"/>
    <w:rsid w:val="00740B3B"/>
    <w:rsid w:val="00742FF9"/>
    <w:rsid w:val="00750F5A"/>
    <w:rsid w:val="007623D7"/>
    <w:rsid w:val="0076272F"/>
    <w:rsid w:val="0077266D"/>
    <w:rsid w:val="007803A6"/>
    <w:rsid w:val="00783887"/>
    <w:rsid w:val="00790BAF"/>
    <w:rsid w:val="00796F18"/>
    <w:rsid w:val="0079789C"/>
    <w:rsid w:val="007978F8"/>
    <w:rsid w:val="007A4A38"/>
    <w:rsid w:val="007C0F2E"/>
    <w:rsid w:val="007C57C3"/>
    <w:rsid w:val="007D66DC"/>
    <w:rsid w:val="007E0305"/>
    <w:rsid w:val="007F0F1E"/>
    <w:rsid w:val="007F1CAB"/>
    <w:rsid w:val="007F38E7"/>
    <w:rsid w:val="007F6698"/>
    <w:rsid w:val="00806366"/>
    <w:rsid w:val="008073E4"/>
    <w:rsid w:val="00815CD5"/>
    <w:rsid w:val="00815DFD"/>
    <w:rsid w:val="008171E0"/>
    <w:rsid w:val="00823D7B"/>
    <w:rsid w:val="00833F00"/>
    <w:rsid w:val="008348D5"/>
    <w:rsid w:val="008407DC"/>
    <w:rsid w:val="00851423"/>
    <w:rsid w:val="008568D4"/>
    <w:rsid w:val="00860E0A"/>
    <w:rsid w:val="008633D1"/>
    <w:rsid w:val="00864A70"/>
    <w:rsid w:val="008715FD"/>
    <w:rsid w:val="00882DE0"/>
    <w:rsid w:val="008858C3"/>
    <w:rsid w:val="00890874"/>
    <w:rsid w:val="0089112A"/>
    <w:rsid w:val="00896764"/>
    <w:rsid w:val="008A5E5A"/>
    <w:rsid w:val="008B4B3A"/>
    <w:rsid w:val="008B64C6"/>
    <w:rsid w:val="008C053A"/>
    <w:rsid w:val="008C396E"/>
    <w:rsid w:val="008C72CF"/>
    <w:rsid w:val="008D6D7F"/>
    <w:rsid w:val="008E1E2C"/>
    <w:rsid w:val="008E583A"/>
    <w:rsid w:val="008F51E8"/>
    <w:rsid w:val="008F5757"/>
    <w:rsid w:val="008F5AB0"/>
    <w:rsid w:val="00906C90"/>
    <w:rsid w:val="00906DC2"/>
    <w:rsid w:val="00912AED"/>
    <w:rsid w:val="00913E9C"/>
    <w:rsid w:val="00915790"/>
    <w:rsid w:val="0092229F"/>
    <w:rsid w:val="00922E80"/>
    <w:rsid w:val="00935D7F"/>
    <w:rsid w:val="00943979"/>
    <w:rsid w:val="00945B23"/>
    <w:rsid w:val="00965F7C"/>
    <w:rsid w:val="009675D9"/>
    <w:rsid w:val="00967D22"/>
    <w:rsid w:val="009762CC"/>
    <w:rsid w:val="00977AF5"/>
    <w:rsid w:val="0098016E"/>
    <w:rsid w:val="009816CA"/>
    <w:rsid w:val="00981BFF"/>
    <w:rsid w:val="00983A33"/>
    <w:rsid w:val="00984648"/>
    <w:rsid w:val="00985A80"/>
    <w:rsid w:val="00992815"/>
    <w:rsid w:val="00997058"/>
    <w:rsid w:val="00997C18"/>
    <w:rsid w:val="009A0FAA"/>
    <w:rsid w:val="009A1D4E"/>
    <w:rsid w:val="009A3168"/>
    <w:rsid w:val="009B09D9"/>
    <w:rsid w:val="009B3473"/>
    <w:rsid w:val="009B4230"/>
    <w:rsid w:val="009B7D02"/>
    <w:rsid w:val="009C11BA"/>
    <w:rsid w:val="009D08A7"/>
    <w:rsid w:val="009D211F"/>
    <w:rsid w:val="009D3A04"/>
    <w:rsid w:val="009D4FE9"/>
    <w:rsid w:val="009E1F04"/>
    <w:rsid w:val="009E52FF"/>
    <w:rsid w:val="009E7C32"/>
    <w:rsid w:val="009F74BD"/>
    <w:rsid w:val="00A12520"/>
    <w:rsid w:val="00A12A5D"/>
    <w:rsid w:val="00A21A47"/>
    <w:rsid w:val="00A23AAE"/>
    <w:rsid w:val="00A23BDB"/>
    <w:rsid w:val="00A2627C"/>
    <w:rsid w:val="00A2777C"/>
    <w:rsid w:val="00A32208"/>
    <w:rsid w:val="00A3272D"/>
    <w:rsid w:val="00A33C12"/>
    <w:rsid w:val="00A37DAD"/>
    <w:rsid w:val="00A43F35"/>
    <w:rsid w:val="00A6048F"/>
    <w:rsid w:val="00A61F68"/>
    <w:rsid w:val="00A61FD7"/>
    <w:rsid w:val="00A6523E"/>
    <w:rsid w:val="00A70D9A"/>
    <w:rsid w:val="00A720B3"/>
    <w:rsid w:val="00A72603"/>
    <w:rsid w:val="00A759A2"/>
    <w:rsid w:val="00A830BD"/>
    <w:rsid w:val="00A85D95"/>
    <w:rsid w:val="00AA075B"/>
    <w:rsid w:val="00AA1A13"/>
    <w:rsid w:val="00AA5A08"/>
    <w:rsid w:val="00AB0D2E"/>
    <w:rsid w:val="00AB1E15"/>
    <w:rsid w:val="00AB425F"/>
    <w:rsid w:val="00AB7720"/>
    <w:rsid w:val="00AC3C59"/>
    <w:rsid w:val="00AC5F4D"/>
    <w:rsid w:val="00AD0278"/>
    <w:rsid w:val="00AD03CB"/>
    <w:rsid w:val="00AD7C0B"/>
    <w:rsid w:val="00AE06CB"/>
    <w:rsid w:val="00AE26A5"/>
    <w:rsid w:val="00AE421C"/>
    <w:rsid w:val="00AF2C29"/>
    <w:rsid w:val="00AF4CEA"/>
    <w:rsid w:val="00AF57C2"/>
    <w:rsid w:val="00AF7E55"/>
    <w:rsid w:val="00B04D9E"/>
    <w:rsid w:val="00B1032B"/>
    <w:rsid w:val="00B111B5"/>
    <w:rsid w:val="00B13BD4"/>
    <w:rsid w:val="00B22AFA"/>
    <w:rsid w:val="00B25254"/>
    <w:rsid w:val="00B25B0D"/>
    <w:rsid w:val="00B34B64"/>
    <w:rsid w:val="00B363E4"/>
    <w:rsid w:val="00B40CB5"/>
    <w:rsid w:val="00B46965"/>
    <w:rsid w:val="00B470E4"/>
    <w:rsid w:val="00B4788D"/>
    <w:rsid w:val="00B542DB"/>
    <w:rsid w:val="00B558AA"/>
    <w:rsid w:val="00B60F11"/>
    <w:rsid w:val="00B6267B"/>
    <w:rsid w:val="00B65DAB"/>
    <w:rsid w:val="00B7672E"/>
    <w:rsid w:val="00B804AF"/>
    <w:rsid w:val="00B8407B"/>
    <w:rsid w:val="00B94A7E"/>
    <w:rsid w:val="00B94CCC"/>
    <w:rsid w:val="00BA5479"/>
    <w:rsid w:val="00BA54AE"/>
    <w:rsid w:val="00BA5C5C"/>
    <w:rsid w:val="00BB07F6"/>
    <w:rsid w:val="00BC14AE"/>
    <w:rsid w:val="00BC3FFD"/>
    <w:rsid w:val="00BC6D83"/>
    <w:rsid w:val="00BC7DC6"/>
    <w:rsid w:val="00BD22BE"/>
    <w:rsid w:val="00BD27E0"/>
    <w:rsid w:val="00BD39C5"/>
    <w:rsid w:val="00BD6DEE"/>
    <w:rsid w:val="00BD74CE"/>
    <w:rsid w:val="00BE44CD"/>
    <w:rsid w:val="00BE5406"/>
    <w:rsid w:val="00BF0C53"/>
    <w:rsid w:val="00BF4245"/>
    <w:rsid w:val="00BF4CF8"/>
    <w:rsid w:val="00C00FA4"/>
    <w:rsid w:val="00C061B9"/>
    <w:rsid w:val="00C070BA"/>
    <w:rsid w:val="00C074FA"/>
    <w:rsid w:val="00C16FA1"/>
    <w:rsid w:val="00C21E0F"/>
    <w:rsid w:val="00C22DE0"/>
    <w:rsid w:val="00C275B3"/>
    <w:rsid w:val="00C33043"/>
    <w:rsid w:val="00C3549E"/>
    <w:rsid w:val="00C368A3"/>
    <w:rsid w:val="00C40F2C"/>
    <w:rsid w:val="00C43D55"/>
    <w:rsid w:val="00C45129"/>
    <w:rsid w:val="00C4553B"/>
    <w:rsid w:val="00C604A5"/>
    <w:rsid w:val="00C60DEB"/>
    <w:rsid w:val="00C6189B"/>
    <w:rsid w:val="00C62691"/>
    <w:rsid w:val="00C6300B"/>
    <w:rsid w:val="00C656F0"/>
    <w:rsid w:val="00C74393"/>
    <w:rsid w:val="00C80601"/>
    <w:rsid w:val="00C867A0"/>
    <w:rsid w:val="00C914A5"/>
    <w:rsid w:val="00C961DF"/>
    <w:rsid w:val="00CA09CC"/>
    <w:rsid w:val="00CA5827"/>
    <w:rsid w:val="00CA7941"/>
    <w:rsid w:val="00CB3DC2"/>
    <w:rsid w:val="00CC109C"/>
    <w:rsid w:val="00CC132D"/>
    <w:rsid w:val="00CC3204"/>
    <w:rsid w:val="00CD255B"/>
    <w:rsid w:val="00CD51EC"/>
    <w:rsid w:val="00CD57C0"/>
    <w:rsid w:val="00CD7388"/>
    <w:rsid w:val="00CF01EA"/>
    <w:rsid w:val="00CF05D9"/>
    <w:rsid w:val="00CF1886"/>
    <w:rsid w:val="00CF61EC"/>
    <w:rsid w:val="00D06C48"/>
    <w:rsid w:val="00D12B40"/>
    <w:rsid w:val="00D1686C"/>
    <w:rsid w:val="00D308C7"/>
    <w:rsid w:val="00D351CC"/>
    <w:rsid w:val="00D36DCA"/>
    <w:rsid w:val="00D46FC9"/>
    <w:rsid w:val="00D5106D"/>
    <w:rsid w:val="00D55CC0"/>
    <w:rsid w:val="00D57A83"/>
    <w:rsid w:val="00D82A2C"/>
    <w:rsid w:val="00D850D9"/>
    <w:rsid w:val="00D87412"/>
    <w:rsid w:val="00D931A1"/>
    <w:rsid w:val="00D95589"/>
    <w:rsid w:val="00D96E83"/>
    <w:rsid w:val="00DA543C"/>
    <w:rsid w:val="00DB127D"/>
    <w:rsid w:val="00DC1A8C"/>
    <w:rsid w:val="00DC3B31"/>
    <w:rsid w:val="00DC534E"/>
    <w:rsid w:val="00DC6307"/>
    <w:rsid w:val="00DE35A9"/>
    <w:rsid w:val="00DE4C70"/>
    <w:rsid w:val="00DE7AF8"/>
    <w:rsid w:val="00DF15F1"/>
    <w:rsid w:val="00DF30A1"/>
    <w:rsid w:val="00DF54A0"/>
    <w:rsid w:val="00E02F47"/>
    <w:rsid w:val="00E048DF"/>
    <w:rsid w:val="00E11BE2"/>
    <w:rsid w:val="00E13096"/>
    <w:rsid w:val="00E146A8"/>
    <w:rsid w:val="00E21437"/>
    <w:rsid w:val="00E21F82"/>
    <w:rsid w:val="00E2237B"/>
    <w:rsid w:val="00E23976"/>
    <w:rsid w:val="00E30486"/>
    <w:rsid w:val="00E4319F"/>
    <w:rsid w:val="00E44BFA"/>
    <w:rsid w:val="00E5042E"/>
    <w:rsid w:val="00E54A11"/>
    <w:rsid w:val="00E54F75"/>
    <w:rsid w:val="00E65DF9"/>
    <w:rsid w:val="00E6629D"/>
    <w:rsid w:val="00E67488"/>
    <w:rsid w:val="00E7249E"/>
    <w:rsid w:val="00E72F7E"/>
    <w:rsid w:val="00E762DF"/>
    <w:rsid w:val="00E7715E"/>
    <w:rsid w:val="00E83BFD"/>
    <w:rsid w:val="00E840C0"/>
    <w:rsid w:val="00E94A77"/>
    <w:rsid w:val="00E94F11"/>
    <w:rsid w:val="00EA1D18"/>
    <w:rsid w:val="00EA59DD"/>
    <w:rsid w:val="00EB1A94"/>
    <w:rsid w:val="00EB4ACD"/>
    <w:rsid w:val="00EC1830"/>
    <w:rsid w:val="00EC65A0"/>
    <w:rsid w:val="00EC675B"/>
    <w:rsid w:val="00EC789F"/>
    <w:rsid w:val="00ED5DE0"/>
    <w:rsid w:val="00EE04AC"/>
    <w:rsid w:val="00EE4A2E"/>
    <w:rsid w:val="00EE5CB4"/>
    <w:rsid w:val="00EF42E7"/>
    <w:rsid w:val="00EF4F5C"/>
    <w:rsid w:val="00EF7F28"/>
    <w:rsid w:val="00F06392"/>
    <w:rsid w:val="00F109BF"/>
    <w:rsid w:val="00F11C4A"/>
    <w:rsid w:val="00F15539"/>
    <w:rsid w:val="00F17474"/>
    <w:rsid w:val="00F23ED8"/>
    <w:rsid w:val="00F254B8"/>
    <w:rsid w:val="00F25B41"/>
    <w:rsid w:val="00F25BA9"/>
    <w:rsid w:val="00F25D7D"/>
    <w:rsid w:val="00F30271"/>
    <w:rsid w:val="00F34F30"/>
    <w:rsid w:val="00F44175"/>
    <w:rsid w:val="00F530FE"/>
    <w:rsid w:val="00F542AD"/>
    <w:rsid w:val="00F55A2F"/>
    <w:rsid w:val="00F57A55"/>
    <w:rsid w:val="00F57D21"/>
    <w:rsid w:val="00F72D31"/>
    <w:rsid w:val="00F73D12"/>
    <w:rsid w:val="00F75762"/>
    <w:rsid w:val="00F76E7F"/>
    <w:rsid w:val="00F801ED"/>
    <w:rsid w:val="00F84EB3"/>
    <w:rsid w:val="00F87348"/>
    <w:rsid w:val="00F91AEE"/>
    <w:rsid w:val="00F95579"/>
    <w:rsid w:val="00FA0C6E"/>
    <w:rsid w:val="00FC3ECA"/>
    <w:rsid w:val="00FC63CC"/>
    <w:rsid w:val="00FC6FF6"/>
    <w:rsid w:val="00FD0274"/>
    <w:rsid w:val="00FE1E3A"/>
    <w:rsid w:val="00FE668D"/>
    <w:rsid w:val="00FF51CB"/>
    <w:rsid w:val="00FF5BBF"/>
    <w:rsid w:val="00FF6DA9"/>
    <w:rsid w:val="00FF71D5"/>
    <w:rsid w:val="00FF76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5BE42EB9"/>
  <w15:docId w15:val="{9E88D6FE-CBF8-4E40-802C-767515E8C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57A33"/>
    <w:pPr>
      <w:spacing w:after="0" w:line="360" w:lineRule="atLeast"/>
    </w:pPr>
    <w:rPr>
      <w:rFonts w:ascii="Verdana" w:hAnsi="Verdana"/>
      <w:sz w:val="21"/>
    </w:rPr>
  </w:style>
  <w:style w:type="paragraph" w:styleId="Kop1">
    <w:name w:val="heading 1"/>
    <w:basedOn w:val="Standaard"/>
    <w:next w:val="Standaard"/>
    <w:link w:val="Kop1Char"/>
    <w:uiPriority w:val="9"/>
    <w:semiHidden/>
    <w:rsid w:val="00AE26A5"/>
    <w:pPr>
      <w:keepNext/>
      <w:keepLines/>
      <w:outlineLvl w:val="0"/>
    </w:pPr>
    <w:rPr>
      <w:rFonts w:eastAsiaTheme="majorEastAsia" w:cstheme="majorBidi"/>
      <w:bCs/>
      <w:color w:val="1226AA"/>
      <w:sz w:val="48"/>
      <w:szCs w:val="28"/>
    </w:rPr>
  </w:style>
  <w:style w:type="paragraph" w:styleId="Kop2">
    <w:name w:val="heading 2"/>
    <w:basedOn w:val="Standaard"/>
    <w:next w:val="Standaard"/>
    <w:link w:val="Kop2Char"/>
    <w:uiPriority w:val="9"/>
    <w:semiHidden/>
    <w:qFormat/>
    <w:rsid w:val="00AE26A5"/>
    <w:pPr>
      <w:keepNext/>
      <w:keepLines/>
      <w:outlineLvl w:val="1"/>
    </w:pPr>
    <w:rPr>
      <w:rFonts w:eastAsiaTheme="majorEastAsia" w:cstheme="majorBidi"/>
      <w:bCs/>
      <w:color w:val="1226AA"/>
      <w:sz w:val="36"/>
      <w:szCs w:val="26"/>
    </w:rPr>
  </w:style>
  <w:style w:type="paragraph" w:styleId="Kop3">
    <w:name w:val="heading 3"/>
    <w:basedOn w:val="Standaard"/>
    <w:next w:val="Standaard"/>
    <w:link w:val="Kop3Char"/>
    <w:uiPriority w:val="9"/>
    <w:semiHidden/>
    <w:rsid w:val="00AA075B"/>
    <w:pPr>
      <w:keepNext/>
      <w:keepLines/>
      <w:shd w:val="clear" w:color="auto" w:fill="1226AA"/>
      <w:spacing w:line="240" w:lineRule="exact"/>
      <w:outlineLvl w:val="2"/>
    </w:pPr>
    <w:rPr>
      <w:rFonts w:asciiTheme="majorHAnsi" w:eastAsiaTheme="majorEastAsia" w:hAnsiTheme="majorHAnsi" w:cstheme="majorBidi"/>
      <w:bCs/>
      <w:caps/>
      <w:color w:val="FFFFFF" w:themeColor="background1"/>
      <w:sz w:val="20"/>
    </w:rPr>
  </w:style>
  <w:style w:type="paragraph" w:styleId="Kop4">
    <w:name w:val="heading 4"/>
    <w:basedOn w:val="Standaard"/>
    <w:next w:val="Standaard"/>
    <w:link w:val="Kop4Char"/>
    <w:uiPriority w:val="9"/>
    <w:semiHidden/>
    <w:rsid w:val="00E30486"/>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rsid w:val="003C4385"/>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rsid w:val="0067060A"/>
    <w:pPr>
      <w:keepNext/>
      <w:keepLines/>
      <w:spacing w:before="4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uiPriority w:val="9"/>
    <w:semiHidden/>
    <w:qFormat/>
    <w:rsid w:val="0067060A"/>
    <w:pPr>
      <w:keepNext/>
      <w:keepLines/>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
    <w:semiHidden/>
    <w:qFormat/>
    <w:rsid w:val="0067060A"/>
    <w:pPr>
      <w:keepNext/>
      <w:keepLines/>
      <w:spacing w:before="40"/>
      <w:outlineLvl w:val="7"/>
    </w:pPr>
    <w:rPr>
      <w:rFonts w:asciiTheme="majorHAnsi" w:eastAsiaTheme="majorEastAsia" w:hAnsiTheme="majorHAnsi" w:cstheme="majorBidi"/>
      <w:color w:val="272727" w:themeColor="text1" w:themeTint="D8"/>
      <w:szCs w:val="21"/>
    </w:rPr>
  </w:style>
  <w:style w:type="paragraph" w:styleId="Kop9">
    <w:name w:val="heading 9"/>
    <w:basedOn w:val="Standaard"/>
    <w:next w:val="Standaard"/>
    <w:link w:val="Kop9Char"/>
    <w:uiPriority w:val="9"/>
    <w:semiHidden/>
    <w:qFormat/>
    <w:rsid w:val="0067060A"/>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semiHidden/>
    <w:rsid w:val="008D6D7F"/>
    <w:rPr>
      <w:rFonts w:ascii="Verdana" w:eastAsiaTheme="majorEastAsia" w:hAnsi="Verdana" w:cstheme="majorBidi"/>
      <w:bCs/>
      <w:color w:val="1226AA"/>
      <w:sz w:val="48"/>
      <w:szCs w:val="28"/>
    </w:rPr>
  </w:style>
  <w:style w:type="character" w:customStyle="1" w:styleId="Kop5Char">
    <w:name w:val="Kop 5 Char"/>
    <w:basedOn w:val="Standaardalinea-lettertype"/>
    <w:link w:val="Kop5"/>
    <w:uiPriority w:val="9"/>
    <w:semiHidden/>
    <w:rsid w:val="008D6D7F"/>
    <w:rPr>
      <w:rFonts w:asciiTheme="majorHAnsi" w:eastAsiaTheme="majorEastAsia" w:hAnsiTheme="majorHAnsi" w:cstheme="majorBidi"/>
      <w:color w:val="243F60" w:themeColor="accent1" w:themeShade="7F"/>
      <w:sz w:val="21"/>
    </w:rPr>
  </w:style>
  <w:style w:type="paragraph" w:styleId="Ballontekst">
    <w:name w:val="Balloon Text"/>
    <w:basedOn w:val="Standaard"/>
    <w:link w:val="BallontekstChar"/>
    <w:uiPriority w:val="99"/>
    <w:semiHidden/>
    <w:unhideWhenUsed/>
    <w:rsid w:val="00FF761C"/>
    <w:pPr>
      <w:spacing w:line="240" w:lineRule="auto"/>
    </w:pPr>
    <w:rPr>
      <w:rFonts w:ascii="Tahoma" w:hAnsi="Tahoma" w:cs="Tahoma"/>
      <w:sz w:val="16"/>
      <w:szCs w:val="16"/>
    </w:rPr>
  </w:style>
  <w:style w:type="character" w:customStyle="1" w:styleId="Kop2Char">
    <w:name w:val="Kop 2 Char"/>
    <w:basedOn w:val="Standaardalinea-lettertype"/>
    <w:link w:val="Kop2"/>
    <w:uiPriority w:val="9"/>
    <w:semiHidden/>
    <w:rsid w:val="008D6D7F"/>
    <w:rPr>
      <w:rFonts w:ascii="Verdana" w:eastAsiaTheme="majorEastAsia" w:hAnsi="Verdana" w:cstheme="majorBidi"/>
      <w:bCs/>
      <w:color w:val="1226AA"/>
      <w:sz w:val="36"/>
      <w:szCs w:val="26"/>
    </w:rPr>
  </w:style>
  <w:style w:type="character" w:customStyle="1" w:styleId="Kop3Char">
    <w:name w:val="Kop 3 Char"/>
    <w:basedOn w:val="Standaardalinea-lettertype"/>
    <w:link w:val="Kop3"/>
    <w:uiPriority w:val="9"/>
    <w:semiHidden/>
    <w:rsid w:val="008D6D7F"/>
    <w:rPr>
      <w:rFonts w:asciiTheme="majorHAnsi" w:eastAsiaTheme="majorEastAsia" w:hAnsiTheme="majorHAnsi" w:cstheme="majorBidi"/>
      <w:bCs/>
      <w:caps/>
      <w:color w:val="FFFFFF" w:themeColor="background1"/>
      <w:sz w:val="20"/>
      <w:shd w:val="clear" w:color="auto" w:fill="1226AA"/>
    </w:rPr>
  </w:style>
  <w:style w:type="character" w:customStyle="1" w:styleId="Kop4Char">
    <w:name w:val="Kop 4 Char"/>
    <w:basedOn w:val="Standaardalinea-lettertype"/>
    <w:link w:val="Kop4"/>
    <w:uiPriority w:val="9"/>
    <w:semiHidden/>
    <w:rsid w:val="008D6D7F"/>
    <w:rPr>
      <w:rFonts w:asciiTheme="majorHAnsi" w:eastAsiaTheme="majorEastAsia" w:hAnsiTheme="majorHAnsi" w:cstheme="majorBidi"/>
      <w:b/>
      <w:bCs/>
      <w:i/>
      <w:iCs/>
      <w:color w:val="4F81BD" w:themeColor="accent1"/>
      <w:sz w:val="21"/>
    </w:rPr>
  </w:style>
  <w:style w:type="character" w:customStyle="1" w:styleId="BallontekstChar">
    <w:name w:val="Ballontekst Char"/>
    <w:basedOn w:val="Standaardalinea-lettertype"/>
    <w:link w:val="Ballontekst"/>
    <w:uiPriority w:val="99"/>
    <w:semiHidden/>
    <w:rsid w:val="00FF761C"/>
    <w:rPr>
      <w:rFonts w:ascii="Tahoma" w:hAnsi="Tahoma" w:cs="Tahoma"/>
      <w:sz w:val="16"/>
      <w:szCs w:val="16"/>
    </w:rPr>
  </w:style>
  <w:style w:type="table" w:styleId="Tabelraster">
    <w:name w:val="Table Grid"/>
    <w:basedOn w:val="Standaardtabel"/>
    <w:uiPriority w:val="59"/>
    <w:rsid w:val="00B34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657F9C"/>
    <w:rPr>
      <w:color w:val="0000FF" w:themeColor="hyperlink"/>
      <w:u w:val="single"/>
    </w:rPr>
  </w:style>
  <w:style w:type="paragraph" w:styleId="Normaalweb">
    <w:name w:val="Normal (Web)"/>
    <w:basedOn w:val="Standaard"/>
    <w:uiPriority w:val="99"/>
    <w:unhideWhenUsed/>
    <w:rsid w:val="007A4A3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0101D9"/>
    <w:pPr>
      <w:ind w:left="720"/>
      <w:contextualSpacing/>
    </w:pPr>
  </w:style>
  <w:style w:type="character" w:styleId="Onopgelostemelding">
    <w:name w:val="Unresolved Mention"/>
    <w:basedOn w:val="Standaardalinea-lettertype"/>
    <w:uiPriority w:val="99"/>
    <w:semiHidden/>
    <w:unhideWhenUsed/>
    <w:rsid w:val="001B5E5D"/>
    <w:rPr>
      <w:color w:val="605E5C"/>
      <w:shd w:val="clear" w:color="auto" w:fill="E1DFDD"/>
    </w:rPr>
  </w:style>
  <w:style w:type="character" w:customStyle="1" w:styleId="btntext">
    <w:name w:val="btn__text"/>
    <w:basedOn w:val="Standaardalinea-lettertype"/>
    <w:rsid w:val="001B5E5D"/>
  </w:style>
  <w:style w:type="paragraph" w:styleId="Aanhef">
    <w:name w:val="Salutation"/>
    <w:basedOn w:val="Standaard"/>
    <w:next w:val="Standaard"/>
    <w:link w:val="AanhefChar"/>
    <w:uiPriority w:val="99"/>
    <w:semiHidden/>
    <w:unhideWhenUsed/>
    <w:rsid w:val="0067060A"/>
  </w:style>
  <w:style w:type="character" w:customStyle="1" w:styleId="AanhefChar">
    <w:name w:val="Aanhef Char"/>
    <w:basedOn w:val="Standaardalinea-lettertype"/>
    <w:link w:val="Aanhef"/>
    <w:uiPriority w:val="99"/>
    <w:semiHidden/>
    <w:rsid w:val="0067060A"/>
    <w:rPr>
      <w:rFonts w:ascii="Verdana" w:hAnsi="Verdana"/>
      <w:sz w:val="21"/>
    </w:rPr>
  </w:style>
  <w:style w:type="paragraph" w:styleId="Adresenvelop">
    <w:name w:val="envelope address"/>
    <w:basedOn w:val="Standaard"/>
    <w:uiPriority w:val="99"/>
    <w:semiHidden/>
    <w:unhideWhenUsed/>
    <w:rsid w:val="0067060A"/>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sluiting">
    <w:name w:val="Closing"/>
    <w:basedOn w:val="Standaard"/>
    <w:link w:val="AfsluitingChar"/>
    <w:uiPriority w:val="99"/>
    <w:semiHidden/>
    <w:unhideWhenUsed/>
    <w:rsid w:val="0067060A"/>
    <w:pPr>
      <w:spacing w:line="240" w:lineRule="auto"/>
      <w:ind w:left="4252"/>
    </w:pPr>
  </w:style>
  <w:style w:type="character" w:customStyle="1" w:styleId="AfsluitingChar">
    <w:name w:val="Afsluiting Char"/>
    <w:basedOn w:val="Standaardalinea-lettertype"/>
    <w:link w:val="Afsluiting"/>
    <w:uiPriority w:val="99"/>
    <w:semiHidden/>
    <w:rsid w:val="0067060A"/>
    <w:rPr>
      <w:rFonts w:ascii="Verdana" w:hAnsi="Verdana"/>
      <w:sz w:val="21"/>
    </w:rPr>
  </w:style>
  <w:style w:type="paragraph" w:styleId="Afzender">
    <w:name w:val="envelope return"/>
    <w:basedOn w:val="Standaard"/>
    <w:uiPriority w:val="99"/>
    <w:semiHidden/>
    <w:unhideWhenUsed/>
    <w:rsid w:val="0067060A"/>
    <w:pPr>
      <w:spacing w:line="240" w:lineRule="auto"/>
    </w:pPr>
    <w:rPr>
      <w:rFonts w:asciiTheme="majorHAnsi" w:eastAsiaTheme="majorEastAsia" w:hAnsiTheme="majorHAnsi" w:cstheme="majorBidi"/>
      <w:sz w:val="20"/>
      <w:szCs w:val="20"/>
    </w:rPr>
  </w:style>
  <w:style w:type="paragraph" w:styleId="Berichtkop">
    <w:name w:val="Message Header"/>
    <w:basedOn w:val="Standaard"/>
    <w:link w:val="BerichtkopChar"/>
    <w:uiPriority w:val="99"/>
    <w:semiHidden/>
    <w:unhideWhenUsed/>
    <w:rsid w:val="0067060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uiPriority w:val="99"/>
    <w:semiHidden/>
    <w:rsid w:val="0067060A"/>
    <w:rPr>
      <w:rFonts w:asciiTheme="majorHAnsi" w:eastAsiaTheme="majorEastAsia" w:hAnsiTheme="majorHAnsi" w:cstheme="majorBidi"/>
      <w:sz w:val="24"/>
      <w:szCs w:val="24"/>
      <w:shd w:val="pct20" w:color="auto" w:fill="auto"/>
    </w:rPr>
  </w:style>
  <w:style w:type="paragraph" w:styleId="Bibliografie">
    <w:name w:val="Bibliography"/>
    <w:basedOn w:val="Standaard"/>
    <w:next w:val="Standaard"/>
    <w:uiPriority w:val="37"/>
    <w:semiHidden/>
    <w:unhideWhenUsed/>
    <w:rsid w:val="0067060A"/>
  </w:style>
  <w:style w:type="paragraph" w:styleId="Bijschrift">
    <w:name w:val="caption"/>
    <w:basedOn w:val="Standaard"/>
    <w:next w:val="Standaard"/>
    <w:uiPriority w:val="35"/>
    <w:semiHidden/>
    <w:unhideWhenUsed/>
    <w:qFormat/>
    <w:rsid w:val="0067060A"/>
    <w:pPr>
      <w:spacing w:after="200" w:line="240" w:lineRule="auto"/>
    </w:pPr>
    <w:rPr>
      <w:i/>
      <w:iCs/>
      <w:color w:val="1F497D" w:themeColor="text2"/>
      <w:sz w:val="18"/>
      <w:szCs w:val="18"/>
    </w:rPr>
  </w:style>
  <w:style w:type="paragraph" w:styleId="Bloktekst">
    <w:name w:val="Block Text"/>
    <w:basedOn w:val="Standaard"/>
    <w:uiPriority w:val="99"/>
    <w:semiHidden/>
    <w:unhideWhenUsed/>
    <w:rsid w:val="0067060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ronvermelding">
    <w:name w:val="table of authorities"/>
    <w:basedOn w:val="Standaard"/>
    <w:next w:val="Standaard"/>
    <w:uiPriority w:val="99"/>
    <w:semiHidden/>
    <w:unhideWhenUsed/>
    <w:rsid w:val="0067060A"/>
    <w:pPr>
      <w:ind w:left="210" w:hanging="210"/>
    </w:pPr>
  </w:style>
  <w:style w:type="paragraph" w:styleId="Citaat">
    <w:name w:val="Quote"/>
    <w:basedOn w:val="Standaard"/>
    <w:next w:val="Standaard"/>
    <w:link w:val="CitaatChar"/>
    <w:uiPriority w:val="29"/>
    <w:qFormat/>
    <w:rsid w:val="0067060A"/>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67060A"/>
    <w:rPr>
      <w:rFonts w:ascii="Verdana" w:hAnsi="Verdana"/>
      <w:i/>
      <w:iCs/>
      <w:color w:val="404040" w:themeColor="text1" w:themeTint="BF"/>
      <w:sz w:val="21"/>
    </w:rPr>
  </w:style>
  <w:style w:type="paragraph" w:styleId="Datum">
    <w:name w:val="Date"/>
    <w:basedOn w:val="Standaard"/>
    <w:next w:val="Standaard"/>
    <w:link w:val="DatumChar"/>
    <w:uiPriority w:val="99"/>
    <w:semiHidden/>
    <w:unhideWhenUsed/>
    <w:rsid w:val="0067060A"/>
  </w:style>
  <w:style w:type="character" w:customStyle="1" w:styleId="DatumChar">
    <w:name w:val="Datum Char"/>
    <w:basedOn w:val="Standaardalinea-lettertype"/>
    <w:link w:val="Datum"/>
    <w:uiPriority w:val="99"/>
    <w:semiHidden/>
    <w:rsid w:val="0067060A"/>
    <w:rPr>
      <w:rFonts w:ascii="Verdana" w:hAnsi="Verdana"/>
      <w:sz w:val="21"/>
    </w:rPr>
  </w:style>
  <w:style w:type="paragraph" w:styleId="Documentstructuur">
    <w:name w:val="Document Map"/>
    <w:basedOn w:val="Standaard"/>
    <w:link w:val="DocumentstructuurChar"/>
    <w:uiPriority w:val="99"/>
    <w:semiHidden/>
    <w:unhideWhenUsed/>
    <w:rsid w:val="0067060A"/>
    <w:pPr>
      <w:spacing w:line="240" w:lineRule="auto"/>
    </w:pPr>
    <w:rPr>
      <w:rFonts w:ascii="Segoe UI" w:hAnsi="Segoe UI" w:cs="Segoe UI"/>
      <w:sz w:val="16"/>
      <w:szCs w:val="16"/>
    </w:rPr>
  </w:style>
  <w:style w:type="character" w:customStyle="1" w:styleId="DocumentstructuurChar">
    <w:name w:val="Documentstructuur Char"/>
    <w:basedOn w:val="Standaardalinea-lettertype"/>
    <w:link w:val="Documentstructuur"/>
    <w:uiPriority w:val="99"/>
    <w:semiHidden/>
    <w:rsid w:val="0067060A"/>
    <w:rPr>
      <w:rFonts w:ascii="Segoe UI" w:hAnsi="Segoe UI" w:cs="Segoe UI"/>
      <w:sz w:val="16"/>
      <w:szCs w:val="16"/>
    </w:rPr>
  </w:style>
  <w:style w:type="paragraph" w:styleId="Duidelijkcitaat">
    <w:name w:val="Intense Quote"/>
    <w:basedOn w:val="Standaard"/>
    <w:next w:val="Standaard"/>
    <w:link w:val="DuidelijkcitaatChar"/>
    <w:uiPriority w:val="30"/>
    <w:qFormat/>
    <w:rsid w:val="0067060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DuidelijkcitaatChar">
    <w:name w:val="Duidelijk citaat Char"/>
    <w:basedOn w:val="Standaardalinea-lettertype"/>
    <w:link w:val="Duidelijkcitaat"/>
    <w:uiPriority w:val="30"/>
    <w:rsid w:val="0067060A"/>
    <w:rPr>
      <w:rFonts w:ascii="Verdana" w:hAnsi="Verdana"/>
      <w:i/>
      <w:iCs/>
      <w:color w:val="4F81BD" w:themeColor="accent1"/>
      <w:sz w:val="21"/>
    </w:rPr>
  </w:style>
  <w:style w:type="paragraph" w:styleId="Eindnoottekst">
    <w:name w:val="endnote text"/>
    <w:basedOn w:val="Standaard"/>
    <w:link w:val="EindnoottekstChar"/>
    <w:uiPriority w:val="99"/>
    <w:semiHidden/>
    <w:unhideWhenUsed/>
    <w:rsid w:val="0067060A"/>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67060A"/>
    <w:rPr>
      <w:rFonts w:ascii="Verdana" w:hAnsi="Verdana"/>
      <w:sz w:val="20"/>
      <w:szCs w:val="20"/>
    </w:rPr>
  </w:style>
  <w:style w:type="paragraph" w:styleId="E-mailhandtekening">
    <w:name w:val="E-mail Signature"/>
    <w:basedOn w:val="Standaard"/>
    <w:link w:val="E-mailhandtekeningChar"/>
    <w:uiPriority w:val="99"/>
    <w:semiHidden/>
    <w:unhideWhenUsed/>
    <w:rsid w:val="0067060A"/>
    <w:pPr>
      <w:spacing w:line="240" w:lineRule="auto"/>
    </w:pPr>
  </w:style>
  <w:style w:type="character" w:customStyle="1" w:styleId="E-mailhandtekeningChar">
    <w:name w:val="E-mailhandtekening Char"/>
    <w:basedOn w:val="Standaardalinea-lettertype"/>
    <w:link w:val="E-mailhandtekening"/>
    <w:uiPriority w:val="99"/>
    <w:semiHidden/>
    <w:rsid w:val="0067060A"/>
    <w:rPr>
      <w:rFonts w:ascii="Verdana" w:hAnsi="Verdana"/>
      <w:sz w:val="21"/>
    </w:rPr>
  </w:style>
  <w:style w:type="paragraph" w:styleId="Geenafstand">
    <w:name w:val="No Spacing"/>
    <w:uiPriority w:val="1"/>
    <w:semiHidden/>
    <w:rsid w:val="0067060A"/>
    <w:pPr>
      <w:spacing w:after="0" w:line="240" w:lineRule="auto"/>
    </w:pPr>
    <w:rPr>
      <w:rFonts w:ascii="Verdana" w:hAnsi="Verdana"/>
      <w:sz w:val="21"/>
    </w:rPr>
  </w:style>
  <w:style w:type="paragraph" w:styleId="Handtekening">
    <w:name w:val="Signature"/>
    <w:basedOn w:val="Standaard"/>
    <w:link w:val="HandtekeningChar"/>
    <w:uiPriority w:val="99"/>
    <w:semiHidden/>
    <w:unhideWhenUsed/>
    <w:rsid w:val="0067060A"/>
    <w:pPr>
      <w:spacing w:line="240" w:lineRule="auto"/>
      <w:ind w:left="4252"/>
    </w:pPr>
  </w:style>
  <w:style w:type="character" w:customStyle="1" w:styleId="HandtekeningChar">
    <w:name w:val="Handtekening Char"/>
    <w:basedOn w:val="Standaardalinea-lettertype"/>
    <w:link w:val="Handtekening"/>
    <w:uiPriority w:val="99"/>
    <w:semiHidden/>
    <w:rsid w:val="0067060A"/>
    <w:rPr>
      <w:rFonts w:ascii="Verdana" w:hAnsi="Verdana"/>
      <w:sz w:val="21"/>
    </w:rPr>
  </w:style>
  <w:style w:type="paragraph" w:styleId="HTML-voorafopgemaakt">
    <w:name w:val="HTML Preformatted"/>
    <w:basedOn w:val="Standaard"/>
    <w:link w:val="HTML-voorafopgemaaktChar"/>
    <w:uiPriority w:val="99"/>
    <w:semiHidden/>
    <w:unhideWhenUsed/>
    <w:rsid w:val="0067060A"/>
    <w:pPr>
      <w:spacing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uiPriority w:val="99"/>
    <w:semiHidden/>
    <w:rsid w:val="0067060A"/>
    <w:rPr>
      <w:rFonts w:ascii="Consolas" w:hAnsi="Consolas"/>
      <w:sz w:val="20"/>
      <w:szCs w:val="20"/>
    </w:rPr>
  </w:style>
  <w:style w:type="paragraph" w:styleId="HTML-adres">
    <w:name w:val="HTML Address"/>
    <w:basedOn w:val="Standaard"/>
    <w:link w:val="HTML-adresChar"/>
    <w:uiPriority w:val="99"/>
    <w:semiHidden/>
    <w:unhideWhenUsed/>
    <w:rsid w:val="0067060A"/>
    <w:pPr>
      <w:spacing w:line="240" w:lineRule="auto"/>
    </w:pPr>
    <w:rPr>
      <w:i/>
      <w:iCs/>
    </w:rPr>
  </w:style>
  <w:style w:type="character" w:customStyle="1" w:styleId="HTML-adresChar">
    <w:name w:val="HTML-adres Char"/>
    <w:basedOn w:val="Standaardalinea-lettertype"/>
    <w:link w:val="HTML-adres"/>
    <w:uiPriority w:val="99"/>
    <w:semiHidden/>
    <w:rsid w:val="0067060A"/>
    <w:rPr>
      <w:rFonts w:ascii="Verdana" w:hAnsi="Verdana"/>
      <w:i/>
      <w:iCs/>
      <w:sz w:val="21"/>
    </w:rPr>
  </w:style>
  <w:style w:type="paragraph" w:styleId="Index1">
    <w:name w:val="index 1"/>
    <w:basedOn w:val="Standaard"/>
    <w:next w:val="Standaard"/>
    <w:autoRedefine/>
    <w:uiPriority w:val="99"/>
    <w:semiHidden/>
    <w:unhideWhenUsed/>
    <w:rsid w:val="0067060A"/>
    <w:pPr>
      <w:spacing w:line="240" w:lineRule="auto"/>
      <w:ind w:left="210" w:hanging="210"/>
    </w:pPr>
  </w:style>
  <w:style w:type="paragraph" w:styleId="Index2">
    <w:name w:val="index 2"/>
    <w:basedOn w:val="Standaard"/>
    <w:next w:val="Standaard"/>
    <w:autoRedefine/>
    <w:uiPriority w:val="99"/>
    <w:semiHidden/>
    <w:unhideWhenUsed/>
    <w:rsid w:val="0067060A"/>
    <w:pPr>
      <w:spacing w:line="240" w:lineRule="auto"/>
      <w:ind w:left="420" w:hanging="210"/>
    </w:pPr>
  </w:style>
  <w:style w:type="paragraph" w:styleId="Index3">
    <w:name w:val="index 3"/>
    <w:basedOn w:val="Standaard"/>
    <w:next w:val="Standaard"/>
    <w:autoRedefine/>
    <w:uiPriority w:val="99"/>
    <w:semiHidden/>
    <w:unhideWhenUsed/>
    <w:rsid w:val="0067060A"/>
    <w:pPr>
      <w:spacing w:line="240" w:lineRule="auto"/>
      <w:ind w:left="630" w:hanging="210"/>
    </w:pPr>
  </w:style>
  <w:style w:type="paragraph" w:styleId="Index4">
    <w:name w:val="index 4"/>
    <w:basedOn w:val="Standaard"/>
    <w:next w:val="Standaard"/>
    <w:autoRedefine/>
    <w:uiPriority w:val="99"/>
    <w:semiHidden/>
    <w:unhideWhenUsed/>
    <w:rsid w:val="0067060A"/>
    <w:pPr>
      <w:spacing w:line="240" w:lineRule="auto"/>
      <w:ind w:left="840" w:hanging="210"/>
    </w:pPr>
  </w:style>
  <w:style w:type="paragraph" w:styleId="Index5">
    <w:name w:val="index 5"/>
    <w:basedOn w:val="Standaard"/>
    <w:next w:val="Standaard"/>
    <w:autoRedefine/>
    <w:uiPriority w:val="99"/>
    <w:semiHidden/>
    <w:unhideWhenUsed/>
    <w:rsid w:val="0067060A"/>
    <w:pPr>
      <w:spacing w:line="240" w:lineRule="auto"/>
      <w:ind w:left="1050" w:hanging="210"/>
    </w:pPr>
  </w:style>
  <w:style w:type="paragraph" w:styleId="Index6">
    <w:name w:val="index 6"/>
    <w:basedOn w:val="Standaard"/>
    <w:next w:val="Standaard"/>
    <w:autoRedefine/>
    <w:uiPriority w:val="99"/>
    <w:semiHidden/>
    <w:unhideWhenUsed/>
    <w:rsid w:val="0067060A"/>
    <w:pPr>
      <w:spacing w:line="240" w:lineRule="auto"/>
      <w:ind w:left="1260" w:hanging="210"/>
    </w:pPr>
  </w:style>
  <w:style w:type="paragraph" w:styleId="Index7">
    <w:name w:val="index 7"/>
    <w:basedOn w:val="Standaard"/>
    <w:next w:val="Standaard"/>
    <w:autoRedefine/>
    <w:uiPriority w:val="99"/>
    <w:semiHidden/>
    <w:unhideWhenUsed/>
    <w:rsid w:val="0067060A"/>
    <w:pPr>
      <w:spacing w:line="240" w:lineRule="auto"/>
      <w:ind w:left="1470" w:hanging="210"/>
    </w:pPr>
  </w:style>
  <w:style w:type="paragraph" w:styleId="Index8">
    <w:name w:val="index 8"/>
    <w:basedOn w:val="Standaard"/>
    <w:next w:val="Standaard"/>
    <w:autoRedefine/>
    <w:uiPriority w:val="99"/>
    <w:semiHidden/>
    <w:unhideWhenUsed/>
    <w:rsid w:val="0067060A"/>
    <w:pPr>
      <w:spacing w:line="240" w:lineRule="auto"/>
      <w:ind w:left="1680" w:hanging="210"/>
    </w:pPr>
  </w:style>
  <w:style w:type="paragraph" w:styleId="Index9">
    <w:name w:val="index 9"/>
    <w:basedOn w:val="Standaard"/>
    <w:next w:val="Standaard"/>
    <w:autoRedefine/>
    <w:uiPriority w:val="99"/>
    <w:semiHidden/>
    <w:unhideWhenUsed/>
    <w:rsid w:val="0067060A"/>
    <w:pPr>
      <w:spacing w:line="240" w:lineRule="auto"/>
      <w:ind w:left="1890" w:hanging="210"/>
    </w:pPr>
  </w:style>
  <w:style w:type="paragraph" w:styleId="Indexkop">
    <w:name w:val="index heading"/>
    <w:basedOn w:val="Standaard"/>
    <w:next w:val="Index1"/>
    <w:uiPriority w:val="99"/>
    <w:semiHidden/>
    <w:unhideWhenUsed/>
    <w:rsid w:val="0067060A"/>
    <w:rPr>
      <w:rFonts w:asciiTheme="majorHAnsi" w:eastAsiaTheme="majorEastAsia" w:hAnsiTheme="majorHAnsi" w:cstheme="majorBidi"/>
      <w:b/>
      <w:bCs/>
    </w:rPr>
  </w:style>
  <w:style w:type="paragraph" w:styleId="Inhopg1">
    <w:name w:val="toc 1"/>
    <w:basedOn w:val="Standaard"/>
    <w:next w:val="Standaard"/>
    <w:autoRedefine/>
    <w:uiPriority w:val="39"/>
    <w:semiHidden/>
    <w:unhideWhenUsed/>
    <w:rsid w:val="0067060A"/>
    <w:pPr>
      <w:spacing w:after="100"/>
    </w:pPr>
  </w:style>
  <w:style w:type="paragraph" w:styleId="Inhopg2">
    <w:name w:val="toc 2"/>
    <w:basedOn w:val="Standaard"/>
    <w:next w:val="Standaard"/>
    <w:autoRedefine/>
    <w:uiPriority w:val="39"/>
    <w:semiHidden/>
    <w:unhideWhenUsed/>
    <w:rsid w:val="0067060A"/>
    <w:pPr>
      <w:spacing w:after="100"/>
      <w:ind w:left="210"/>
    </w:pPr>
  </w:style>
  <w:style w:type="paragraph" w:styleId="Inhopg3">
    <w:name w:val="toc 3"/>
    <w:basedOn w:val="Standaard"/>
    <w:next w:val="Standaard"/>
    <w:autoRedefine/>
    <w:uiPriority w:val="39"/>
    <w:semiHidden/>
    <w:unhideWhenUsed/>
    <w:rsid w:val="0067060A"/>
    <w:pPr>
      <w:spacing w:after="100"/>
      <w:ind w:left="420"/>
    </w:pPr>
  </w:style>
  <w:style w:type="paragraph" w:styleId="Inhopg4">
    <w:name w:val="toc 4"/>
    <w:basedOn w:val="Standaard"/>
    <w:next w:val="Standaard"/>
    <w:autoRedefine/>
    <w:uiPriority w:val="39"/>
    <w:semiHidden/>
    <w:unhideWhenUsed/>
    <w:rsid w:val="0067060A"/>
    <w:pPr>
      <w:spacing w:after="100"/>
      <w:ind w:left="630"/>
    </w:pPr>
  </w:style>
  <w:style w:type="paragraph" w:styleId="Inhopg5">
    <w:name w:val="toc 5"/>
    <w:basedOn w:val="Standaard"/>
    <w:next w:val="Standaard"/>
    <w:autoRedefine/>
    <w:uiPriority w:val="39"/>
    <w:semiHidden/>
    <w:unhideWhenUsed/>
    <w:rsid w:val="0067060A"/>
    <w:pPr>
      <w:spacing w:after="100"/>
      <w:ind w:left="840"/>
    </w:pPr>
  </w:style>
  <w:style w:type="paragraph" w:styleId="Inhopg6">
    <w:name w:val="toc 6"/>
    <w:basedOn w:val="Standaard"/>
    <w:next w:val="Standaard"/>
    <w:autoRedefine/>
    <w:uiPriority w:val="39"/>
    <w:semiHidden/>
    <w:unhideWhenUsed/>
    <w:rsid w:val="0067060A"/>
    <w:pPr>
      <w:spacing w:after="100"/>
      <w:ind w:left="1050"/>
    </w:pPr>
  </w:style>
  <w:style w:type="paragraph" w:styleId="Inhopg7">
    <w:name w:val="toc 7"/>
    <w:basedOn w:val="Standaard"/>
    <w:next w:val="Standaard"/>
    <w:autoRedefine/>
    <w:uiPriority w:val="39"/>
    <w:semiHidden/>
    <w:unhideWhenUsed/>
    <w:rsid w:val="0067060A"/>
    <w:pPr>
      <w:spacing w:after="100"/>
      <w:ind w:left="1260"/>
    </w:pPr>
  </w:style>
  <w:style w:type="paragraph" w:styleId="Inhopg8">
    <w:name w:val="toc 8"/>
    <w:basedOn w:val="Standaard"/>
    <w:next w:val="Standaard"/>
    <w:autoRedefine/>
    <w:uiPriority w:val="39"/>
    <w:semiHidden/>
    <w:unhideWhenUsed/>
    <w:rsid w:val="0067060A"/>
    <w:pPr>
      <w:spacing w:after="100"/>
      <w:ind w:left="1470"/>
    </w:pPr>
  </w:style>
  <w:style w:type="paragraph" w:styleId="Inhopg9">
    <w:name w:val="toc 9"/>
    <w:basedOn w:val="Standaard"/>
    <w:next w:val="Standaard"/>
    <w:autoRedefine/>
    <w:uiPriority w:val="39"/>
    <w:semiHidden/>
    <w:unhideWhenUsed/>
    <w:rsid w:val="0067060A"/>
    <w:pPr>
      <w:spacing w:after="100"/>
      <w:ind w:left="1680"/>
    </w:pPr>
  </w:style>
  <w:style w:type="character" w:customStyle="1" w:styleId="Kop6Char">
    <w:name w:val="Kop 6 Char"/>
    <w:basedOn w:val="Standaardalinea-lettertype"/>
    <w:link w:val="Kop6"/>
    <w:uiPriority w:val="9"/>
    <w:semiHidden/>
    <w:rsid w:val="0067060A"/>
    <w:rPr>
      <w:rFonts w:asciiTheme="majorHAnsi" w:eastAsiaTheme="majorEastAsia" w:hAnsiTheme="majorHAnsi" w:cstheme="majorBidi"/>
      <w:color w:val="243F60" w:themeColor="accent1" w:themeShade="7F"/>
      <w:sz w:val="21"/>
    </w:rPr>
  </w:style>
  <w:style w:type="character" w:customStyle="1" w:styleId="Kop7Char">
    <w:name w:val="Kop 7 Char"/>
    <w:basedOn w:val="Standaardalinea-lettertype"/>
    <w:link w:val="Kop7"/>
    <w:uiPriority w:val="9"/>
    <w:semiHidden/>
    <w:rsid w:val="0067060A"/>
    <w:rPr>
      <w:rFonts w:asciiTheme="majorHAnsi" w:eastAsiaTheme="majorEastAsia" w:hAnsiTheme="majorHAnsi" w:cstheme="majorBidi"/>
      <w:i/>
      <w:iCs/>
      <w:color w:val="243F60" w:themeColor="accent1" w:themeShade="7F"/>
      <w:sz w:val="21"/>
    </w:rPr>
  </w:style>
  <w:style w:type="character" w:customStyle="1" w:styleId="Kop8Char">
    <w:name w:val="Kop 8 Char"/>
    <w:basedOn w:val="Standaardalinea-lettertype"/>
    <w:link w:val="Kop8"/>
    <w:uiPriority w:val="9"/>
    <w:semiHidden/>
    <w:rsid w:val="0067060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67060A"/>
    <w:rPr>
      <w:rFonts w:asciiTheme="majorHAnsi" w:eastAsiaTheme="majorEastAsia" w:hAnsiTheme="majorHAnsi" w:cstheme="majorBidi"/>
      <w:i/>
      <w:iCs/>
      <w:color w:val="272727" w:themeColor="text1" w:themeTint="D8"/>
      <w:sz w:val="21"/>
      <w:szCs w:val="21"/>
    </w:rPr>
  </w:style>
  <w:style w:type="paragraph" w:styleId="Kopbronvermelding">
    <w:name w:val="toa heading"/>
    <w:basedOn w:val="Standaard"/>
    <w:next w:val="Standaard"/>
    <w:uiPriority w:val="99"/>
    <w:semiHidden/>
    <w:rsid w:val="0067060A"/>
    <w:pPr>
      <w:spacing w:before="120"/>
    </w:pPr>
    <w:rPr>
      <w:rFonts w:asciiTheme="majorHAnsi" w:eastAsiaTheme="majorEastAsia" w:hAnsiTheme="majorHAnsi" w:cstheme="majorBidi"/>
      <w:b/>
      <w:bCs/>
      <w:sz w:val="24"/>
      <w:szCs w:val="24"/>
    </w:rPr>
  </w:style>
  <w:style w:type="paragraph" w:styleId="Kopvaninhoudsopgave">
    <w:name w:val="TOC Heading"/>
    <w:basedOn w:val="Kop1"/>
    <w:next w:val="Standaard"/>
    <w:uiPriority w:val="39"/>
    <w:semiHidden/>
    <w:qFormat/>
    <w:rsid w:val="0067060A"/>
    <w:pPr>
      <w:spacing w:before="240"/>
      <w:outlineLvl w:val="9"/>
    </w:pPr>
    <w:rPr>
      <w:rFonts w:asciiTheme="majorHAnsi" w:hAnsiTheme="majorHAnsi"/>
      <w:bCs w:val="0"/>
      <w:color w:val="365F91" w:themeColor="accent1" w:themeShade="BF"/>
      <w:sz w:val="32"/>
      <w:szCs w:val="32"/>
    </w:rPr>
  </w:style>
  <w:style w:type="paragraph" w:styleId="Koptekst">
    <w:name w:val="header"/>
    <w:basedOn w:val="Standaard"/>
    <w:link w:val="KoptekstChar"/>
    <w:uiPriority w:val="99"/>
    <w:semiHidden/>
    <w:rsid w:val="0067060A"/>
    <w:pPr>
      <w:tabs>
        <w:tab w:val="center" w:pos="4513"/>
        <w:tab w:val="right" w:pos="9026"/>
      </w:tabs>
      <w:spacing w:line="240" w:lineRule="auto"/>
    </w:pPr>
  </w:style>
  <w:style w:type="character" w:customStyle="1" w:styleId="KoptekstChar">
    <w:name w:val="Koptekst Char"/>
    <w:basedOn w:val="Standaardalinea-lettertype"/>
    <w:link w:val="Koptekst"/>
    <w:uiPriority w:val="99"/>
    <w:semiHidden/>
    <w:rsid w:val="0067060A"/>
    <w:rPr>
      <w:rFonts w:ascii="Verdana" w:hAnsi="Verdana"/>
      <w:sz w:val="21"/>
    </w:rPr>
  </w:style>
  <w:style w:type="paragraph" w:styleId="Lijst">
    <w:name w:val="List"/>
    <w:basedOn w:val="Standaard"/>
    <w:uiPriority w:val="99"/>
    <w:semiHidden/>
    <w:unhideWhenUsed/>
    <w:rsid w:val="0067060A"/>
    <w:pPr>
      <w:ind w:left="283" w:hanging="283"/>
      <w:contextualSpacing/>
    </w:pPr>
  </w:style>
  <w:style w:type="paragraph" w:styleId="Lijst2">
    <w:name w:val="List 2"/>
    <w:basedOn w:val="Standaard"/>
    <w:uiPriority w:val="99"/>
    <w:semiHidden/>
    <w:unhideWhenUsed/>
    <w:rsid w:val="0067060A"/>
    <w:pPr>
      <w:ind w:left="566" w:hanging="283"/>
      <w:contextualSpacing/>
    </w:pPr>
  </w:style>
  <w:style w:type="paragraph" w:styleId="Lijst3">
    <w:name w:val="List 3"/>
    <w:basedOn w:val="Standaard"/>
    <w:uiPriority w:val="99"/>
    <w:semiHidden/>
    <w:unhideWhenUsed/>
    <w:rsid w:val="0067060A"/>
    <w:pPr>
      <w:ind w:left="849" w:hanging="283"/>
      <w:contextualSpacing/>
    </w:pPr>
  </w:style>
  <w:style w:type="paragraph" w:styleId="Lijst4">
    <w:name w:val="List 4"/>
    <w:basedOn w:val="Standaard"/>
    <w:uiPriority w:val="99"/>
    <w:semiHidden/>
    <w:unhideWhenUsed/>
    <w:rsid w:val="0067060A"/>
    <w:pPr>
      <w:ind w:left="1132" w:hanging="283"/>
      <w:contextualSpacing/>
    </w:pPr>
  </w:style>
  <w:style w:type="paragraph" w:styleId="Lijst5">
    <w:name w:val="List 5"/>
    <w:basedOn w:val="Standaard"/>
    <w:uiPriority w:val="99"/>
    <w:semiHidden/>
    <w:unhideWhenUsed/>
    <w:rsid w:val="0067060A"/>
    <w:pPr>
      <w:ind w:left="1415" w:hanging="283"/>
      <w:contextualSpacing/>
    </w:pPr>
  </w:style>
  <w:style w:type="paragraph" w:styleId="Lijstmetafbeeldingen">
    <w:name w:val="table of figures"/>
    <w:basedOn w:val="Standaard"/>
    <w:next w:val="Standaard"/>
    <w:uiPriority w:val="99"/>
    <w:semiHidden/>
    <w:unhideWhenUsed/>
    <w:rsid w:val="0067060A"/>
  </w:style>
  <w:style w:type="paragraph" w:styleId="Lijstopsomteken">
    <w:name w:val="List Bullet"/>
    <w:basedOn w:val="Standaard"/>
    <w:uiPriority w:val="99"/>
    <w:semiHidden/>
    <w:unhideWhenUsed/>
    <w:rsid w:val="0067060A"/>
    <w:pPr>
      <w:numPr>
        <w:numId w:val="6"/>
      </w:numPr>
      <w:contextualSpacing/>
    </w:pPr>
  </w:style>
  <w:style w:type="paragraph" w:styleId="Lijstopsomteken2">
    <w:name w:val="List Bullet 2"/>
    <w:basedOn w:val="Standaard"/>
    <w:uiPriority w:val="99"/>
    <w:semiHidden/>
    <w:unhideWhenUsed/>
    <w:rsid w:val="0067060A"/>
    <w:pPr>
      <w:numPr>
        <w:numId w:val="7"/>
      </w:numPr>
      <w:contextualSpacing/>
    </w:pPr>
  </w:style>
  <w:style w:type="paragraph" w:styleId="Lijstopsomteken3">
    <w:name w:val="List Bullet 3"/>
    <w:basedOn w:val="Standaard"/>
    <w:uiPriority w:val="99"/>
    <w:semiHidden/>
    <w:unhideWhenUsed/>
    <w:rsid w:val="0067060A"/>
    <w:pPr>
      <w:numPr>
        <w:numId w:val="8"/>
      </w:numPr>
      <w:contextualSpacing/>
    </w:pPr>
  </w:style>
  <w:style w:type="paragraph" w:styleId="Lijstopsomteken4">
    <w:name w:val="List Bullet 4"/>
    <w:basedOn w:val="Standaard"/>
    <w:uiPriority w:val="99"/>
    <w:semiHidden/>
    <w:unhideWhenUsed/>
    <w:rsid w:val="0067060A"/>
    <w:pPr>
      <w:numPr>
        <w:numId w:val="9"/>
      </w:numPr>
      <w:contextualSpacing/>
    </w:pPr>
  </w:style>
  <w:style w:type="paragraph" w:styleId="Lijstopsomteken5">
    <w:name w:val="List Bullet 5"/>
    <w:basedOn w:val="Standaard"/>
    <w:uiPriority w:val="99"/>
    <w:semiHidden/>
    <w:unhideWhenUsed/>
    <w:rsid w:val="0067060A"/>
    <w:pPr>
      <w:numPr>
        <w:numId w:val="10"/>
      </w:numPr>
      <w:contextualSpacing/>
    </w:pPr>
  </w:style>
  <w:style w:type="paragraph" w:styleId="Lijstnummering">
    <w:name w:val="List Number"/>
    <w:basedOn w:val="Standaard"/>
    <w:uiPriority w:val="99"/>
    <w:semiHidden/>
    <w:unhideWhenUsed/>
    <w:rsid w:val="0067060A"/>
    <w:pPr>
      <w:numPr>
        <w:numId w:val="11"/>
      </w:numPr>
      <w:contextualSpacing/>
    </w:pPr>
  </w:style>
  <w:style w:type="paragraph" w:styleId="Lijstnummering2">
    <w:name w:val="List Number 2"/>
    <w:basedOn w:val="Standaard"/>
    <w:uiPriority w:val="99"/>
    <w:semiHidden/>
    <w:unhideWhenUsed/>
    <w:rsid w:val="0067060A"/>
    <w:pPr>
      <w:numPr>
        <w:numId w:val="12"/>
      </w:numPr>
      <w:contextualSpacing/>
    </w:pPr>
  </w:style>
  <w:style w:type="paragraph" w:styleId="Lijstnummering3">
    <w:name w:val="List Number 3"/>
    <w:basedOn w:val="Standaard"/>
    <w:uiPriority w:val="99"/>
    <w:semiHidden/>
    <w:unhideWhenUsed/>
    <w:rsid w:val="0067060A"/>
    <w:pPr>
      <w:numPr>
        <w:numId w:val="13"/>
      </w:numPr>
      <w:contextualSpacing/>
    </w:pPr>
  </w:style>
  <w:style w:type="paragraph" w:styleId="Lijstnummering4">
    <w:name w:val="List Number 4"/>
    <w:basedOn w:val="Standaard"/>
    <w:uiPriority w:val="99"/>
    <w:semiHidden/>
    <w:unhideWhenUsed/>
    <w:rsid w:val="0067060A"/>
    <w:pPr>
      <w:numPr>
        <w:numId w:val="14"/>
      </w:numPr>
      <w:contextualSpacing/>
    </w:pPr>
  </w:style>
  <w:style w:type="paragraph" w:styleId="Lijstnummering5">
    <w:name w:val="List Number 5"/>
    <w:basedOn w:val="Standaard"/>
    <w:uiPriority w:val="99"/>
    <w:semiHidden/>
    <w:unhideWhenUsed/>
    <w:rsid w:val="0067060A"/>
    <w:pPr>
      <w:numPr>
        <w:numId w:val="15"/>
      </w:numPr>
      <w:contextualSpacing/>
    </w:pPr>
  </w:style>
  <w:style w:type="paragraph" w:styleId="Lijstvoortzetting">
    <w:name w:val="List Continue"/>
    <w:basedOn w:val="Standaard"/>
    <w:uiPriority w:val="99"/>
    <w:semiHidden/>
    <w:unhideWhenUsed/>
    <w:rsid w:val="0067060A"/>
    <w:pPr>
      <w:spacing w:after="120"/>
      <w:ind w:left="283"/>
      <w:contextualSpacing/>
    </w:pPr>
  </w:style>
  <w:style w:type="paragraph" w:styleId="Lijstvoortzetting2">
    <w:name w:val="List Continue 2"/>
    <w:basedOn w:val="Standaard"/>
    <w:uiPriority w:val="99"/>
    <w:semiHidden/>
    <w:unhideWhenUsed/>
    <w:rsid w:val="0067060A"/>
    <w:pPr>
      <w:spacing w:after="120"/>
      <w:ind w:left="566"/>
      <w:contextualSpacing/>
    </w:pPr>
  </w:style>
  <w:style w:type="paragraph" w:styleId="Lijstvoortzetting3">
    <w:name w:val="List Continue 3"/>
    <w:basedOn w:val="Standaard"/>
    <w:uiPriority w:val="99"/>
    <w:semiHidden/>
    <w:unhideWhenUsed/>
    <w:rsid w:val="0067060A"/>
    <w:pPr>
      <w:spacing w:after="120"/>
      <w:ind w:left="849"/>
      <w:contextualSpacing/>
    </w:pPr>
  </w:style>
  <w:style w:type="paragraph" w:styleId="Lijstvoortzetting4">
    <w:name w:val="List Continue 4"/>
    <w:basedOn w:val="Standaard"/>
    <w:uiPriority w:val="99"/>
    <w:semiHidden/>
    <w:unhideWhenUsed/>
    <w:rsid w:val="0067060A"/>
    <w:pPr>
      <w:spacing w:after="120"/>
      <w:ind w:left="1132"/>
      <w:contextualSpacing/>
    </w:pPr>
  </w:style>
  <w:style w:type="paragraph" w:styleId="Lijstvoortzetting5">
    <w:name w:val="List Continue 5"/>
    <w:basedOn w:val="Standaard"/>
    <w:uiPriority w:val="99"/>
    <w:semiHidden/>
    <w:unhideWhenUsed/>
    <w:rsid w:val="0067060A"/>
    <w:pPr>
      <w:spacing w:after="120"/>
      <w:ind w:left="1415"/>
      <w:contextualSpacing/>
    </w:pPr>
  </w:style>
  <w:style w:type="paragraph" w:styleId="Macrotekst">
    <w:name w:val="macro"/>
    <w:link w:val="MacrotekstChar"/>
    <w:uiPriority w:val="99"/>
    <w:semiHidden/>
    <w:unhideWhenUsed/>
    <w:rsid w:val="0067060A"/>
    <w:pPr>
      <w:tabs>
        <w:tab w:val="left" w:pos="480"/>
        <w:tab w:val="left" w:pos="960"/>
        <w:tab w:val="left" w:pos="1440"/>
        <w:tab w:val="left" w:pos="1920"/>
        <w:tab w:val="left" w:pos="2400"/>
        <w:tab w:val="left" w:pos="2880"/>
        <w:tab w:val="left" w:pos="3360"/>
        <w:tab w:val="left" w:pos="3840"/>
        <w:tab w:val="left" w:pos="4320"/>
      </w:tabs>
      <w:spacing w:after="0" w:line="360" w:lineRule="atLeast"/>
    </w:pPr>
    <w:rPr>
      <w:rFonts w:ascii="Consolas" w:hAnsi="Consolas"/>
      <w:sz w:val="20"/>
      <w:szCs w:val="20"/>
    </w:rPr>
  </w:style>
  <w:style w:type="character" w:customStyle="1" w:styleId="MacrotekstChar">
    <w:name w:val="Macrotekst Char"/>
    <w:basedOn w:val="Standaardalinea-lettertype"/>
    <w:link w:val="Macrotekst"/>
    <w:uiPriority w:val="99"/>
    <w:semiHidden/>
    <w:rsid w:val="0067060A"/>
    <w:rPr>
      <w:rFonts w:ascii="Consolas" w:hAnsi="Consolas"/>
      <w:sz w:val="20"/>
      <w:szCs w:val="20"/>
    </w:rPr>
  </w:style>
  <w:style w:type="paragraph" w:styleId="Notitiekop">
    <w:name w:val="Note Heading"/>
    <w:basedOn w:val="Standaard"/>
    <w:next w:val="Standaard"/>
    <w:link w:val="NotitiekopChar"/>
    <w:uiPriority w:val="99"/>
    <w:semiHidden/>
    <w:unhideWhenUsed/>
    <w:rsid w:val="0067060A"/>
    <w:pPr>
      <w:spacing w:line="240" w:lineRule="auto"/>
    </w:pPr>
  </w:style>
  <w:style w:type="character" w:customStyle="1" w:styleId="NotitiekopChar">
    <w:name w:val="Notitiekop Char"/>
    <w:basedOn w:val="Standaardalinea-lettertype"/>
    <w:link w:val="Notitiekop"/>
    <w:uiPriority w:val="99"/>
    <w:semiHidden/>
    <w:rsid w:val="0067060A"/>
    <w:rPr>
      <w:rFonts w:ascii="Verdana" w:hAnsi="Verdana"/>
      <w:sz w:val="21"/>
    </w:rPr>
  </w:style>
  <w:style w:type="paragraph" w:styleId="Ondertitel">
    <w:name w:val="Subtitle"/>
    <w:basedOn w:val="Standaard"/>
    <w:next w:val="Standaard"/>
    <w:link w:val="OndertitelChar"/>
    <w:uiPriority w:val="11"/>
    <w:qFormat/>
    <w:rsid w:val="0067060A"/>
    <w:pPr>
      <w:numPr>
        <w:ilvl w:val="1"/>
      </w:numPr>
      <w:spacing w:after="160"/>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67060A"/>
    <w:rPr>
      <w:rFonts w:eastAsiaTheme="minorEastAsia"/>
      <w:color w:val="5A5A5A" w:themeColor="text1" w:themeTint="A5"/>
      <w:spacing w:val="15"/>
    </w:rPr>
  </w:style>
  <w:style w:type="paragraph" w:styleId="Tekstopmerking">
    <w:name w:val="annotation text"/>
    <w:basedOn w:val="Standaard"/>
    <w:link w:val="TekstopmerkingChar"/>
    <w:uiPriority w:val="99"/>
    <w:semiHidden/>
    <w:unhideWhenUsed/>
    <w:rsid w:val="0067060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7060A"/>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67060A"/>
    <w:rPr>
      <w:b/>
      <w:bCs/>
    </w:rPr>
  </w:style>
  <w:style w:type="character" w:customStyle="1" w:styleId="OnderwerpvanopmerkingChar">
    <w:name w:val="Onderwerp van opmerking Char"/>
    <w:basedOn w:val="TekstopmerkingChar"/>
    <w:link w:val="Onderwerpvanopmerking"/>
    <w:uiPriority w:val="99"/>
    <w:semiHidden/>
    <w:rsid w:val="0067060A"/>
    <w:rPr>
      <w:rFonts w:ascii="Verdana" w:hAnsi="Verdana"/>
      <w:b/>
      <w:bCs/>
      <w:sz w:val="20"/>
      <w:szCs w:val="20"/>
    </w:rPr>
  </w:style>
  <w:style w:type="paragraph" w:styleId="Plattetekst">
    <w:name w:val="Body Text"/>
    <w:basedOn w:val="Standaard"/>
    <w:link w:val="PlattetekstChar"/>
    <w:uiPriority w:val="99"/>
    <w:semiHidden/>
    <w:unhideWhenUsed/>
    <w:rsid w:val="0067060A"/>
    <w:pPr>
      <w:spacing w:after="120"/>
    </w:pPr>
  </w:style>
  <w:style w:type="character" w:customStyle="1" w:styleId="PlattetekstChar">
    <w:name w:val="Platte tekst Char"/>
    <w:basedOn w:val="Standaardalinea-lettertype"/>
    <w:link w:val="Plattetekst"/>
    <w:uiPriority w:val="99"/>
    <w:semiHidden/>
    <w:rsid w:val="0067060A"/>
    <w:rPr>
      <w:rFonts w:ascii="Verdana" w:hAnsi="Verdana"/>
      <w:sz w:val="21"/>
    </w:rPr>
  </w:style>
  <w:style w:type="paragraph" w:styleId="Plattetekst2">
    <w:name w:val="Body Text 2"/>
    <w:basedOn w:val="Standaard"/>
    <w:link w:val="Plattetekst2Char"/>
    <w:uiPriority w:val="99"/>
    <w:semiHidden/>
    <w:unhideWhenUsed/>
    <w:rsid w:val="0067060A"/>
    <w:pPr>
      <w:spacing w:after="120" w:line="480" w:lineRule="auto"/>
    </w:pPr>
  </w:style>
  <w:style w:type="character" w:customStyle="1" w:styleId="Plattetekst2Char">
    <w:name w:val="Platte tekst 2 Char"/>
    <w:basedOn w:val="Standaardalinea-lettertype"/>
    <w:link w:val="Plattetekst2"/>
    <w:uiPriority w:val="99"/>
    <w:semiHidden/>
    <w:rsid w:val="0067060A"/>
    <w:rPr>
      <w:rFonts w:ascii="Verdana" w:hAnsi="Verdana"/>
      <w:sz w:val="21"/>
    </w:rPr>
  </w:style>
  <w:style w:type="paragraph" w:styleId="Plattetekst3">
    <w:name w:val="Body Text 3"/>
    <w:basedOn w:val="Standaard"/>
    <w:link w:val="Plattetekst3Char"/>
    <w:uiPriority w:val="99"/>
    <w:semiHidden/>
    <w:unhideWhenUsed/>
    <w:rsid w:val="0067060A"/>
    <w:pPr>
      <w:spacing w:after="120"/>
    </w:pPr>
    <w:rPr>
      <w:sz w:val="16"/>
      <w:szCs w:val="16"/>
    </w:rPr>
  </w:style>
  <w:style w:type="character" w:customStyle="1" w:styleId="Plattetekst3Char">
    <w:name w:val="Platte tekst 3 Char"/>
    <w:basedOn w:val="Standaardalinea-lettertype"/>
    <w:link w:val="Plattetekst3"/>
    <w:uiPriority w:val="99"/>
    <w:semiHidden/>
    <w:rsid w:val="0067060A"/>
    <w:rPr>
      <w:rFonts w:ascii="Verdana" w:hAnsi="Verdana"/>
      <w:sz w:val="16"/>
      <w:szCs w:val="16"/>
    </w:rPr>
  </w:style>
  <w:style w:type="paragraph" w:styleId="Platteteksteersteinspringing">
    <w:name w:val="Body Text First Indent"/>
    <w:basedOn w:val="Plattetekst"/>
    <w:link w:val="PlatteteksteersteinspringingChar"/>
    <w:uiPriority w:val="99"/>
    <w:semiHidden/>
    <w:unhideWhenUsed/>
    <w:rsid w:val="0067060A"/>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67060A"/>
    <w:rPr>
      <w:rFonts w:ascii="Verdana" w:hAnsi="Verdana"/>
      <w:sz w:val="21"/>
    </w:rPr>
  </w:style>
  <w:style w:type="paragraph" w:styleId="Plattetekstinspringen">
    <w:name w:val="Body Text Indent"/>
    <w:basedOn w:val="Standaard"/>
    <w:link w:val="PlattetekstinspringenChar"/>
    <w:uiPriority w:val="99"/>
    <w:semiHidden/>
    <w:unhideWhenUsed/>
    <w:rsid w:val="0067060A"/>
    <w:pPr>
      <w:spacing w:after="120"/>
      <w:ind w:left="283"/>
    </w:pPr>
  </w:style>
  <w:style w:type="character" w:customStyle="1" w:styleId="PlattetekstinspringenChar">
    <w:name w:val="Platte tekst inspringen Char"/>
    <w:basedOn w:val="Standaardalinea-lettertype"/>
    <w:link w:val="Plattetekstinspringen"/>
    <w:uiPriority w:val="99"/>
    <w:semiHidden/>
    <w:rsid w:val="0067060A"/>
    <w:rPr>
      <w:rFonts w:ascii="Verdana" w:hAnsi="Verdana"/>
      <w:sz w:val="21"/>
    </w:rPr>
  </w:style>
  <w:style w:type="paragraph" w:styleId="Platteteksteersteinspringing2">
    <w:name w:val="Body Text First Indent 2"/>
    <w:basedOn w:val="Plattetekstinspringen"/>
    <w:link w:val="Platteteksteersteinspringing2Char"/>
    <w:uiPriority w:val="99"/>
    <w:semiHidden/>
    <w:unhideWhenUsed/>
    <w:rsid w:val="0067060A"/>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67060A"/>
    <w:rPr>
      <w:rFonts w:ascii="Verdana" w:hAnsi="Verdana"/>
      <w:sz w:val="21"/>
    </w:rPr>
  </w:style>
  <w:style w:type="paragraph" w:styleId="Plattetekstinspringen2">
    <w:name w:val="Body Text Indent 2"/>
    <w:basedOn w:val="Standaard"/>
    <w:link w:val="Plattetekstinspringen2Char"/>
    <w:uiPriority w:val="99"/>
    <w:semiHidden/>
    <w:unhideWhenUsed/>
    <w:rsid w:val="0067060A"/>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67060A"/>
    <w:rPr>
      <w:rFonts w:ascii="Verdana" w:hAnsi="Verdana"/>
      <w:sz w:val="21"/>
    </w:rPr>
  </w:style>
  <w:style w:type="paragraph" w:styleId="Plattetekstinspringen3">
    <w:name w:val="Body Text Indent 3"/>
    <w:basedOn w:val="Standaard"/>
    <w:link w:val="Plattetekstinspringen3Char"/>
    <w:uiPriority w:val="99"/>
    <w:semiHidden/>
    <w:unhideWhenUsed/>
    <w:rsid w:val="0067060A"/>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67060A"/>
    <w:rPr>
      <w:rFonts w:ascii="Verdana" w:hAnsi="Verdana"/>
      <w:sz w:val="16"/>
      <w:szCs w:val="16"/>
    </w:rPr>
  </w:style>
  <w:style w:type="paragraph" w:styleId="Standaardinspringing">
    <w:name w:val="Normal Indent"/>
    <w:basedOn w:val="Standaard"/>
    <w:uiPriority w:val="99"/>
    <w:semiHidden/>
    <w:unhideWhenUsed/>
    <w:rsid w:val="0067060A"/>
    <w:pPr>
      <w:ind w:left="720"/>
    </w:pPr>
  </w:style>
  <w:style w:type="paragraph" w:styleId="Tekstzonderopmaak">
    <w:name w:val="Plain Text"/>
    <w:basedOn w:val="Standaard"/>
    <w:link w:val="TekstzonderopmaakChar"/>
    <w:uiPriority w:val="99"/>
    <w:semiHidden/>
    <w:unhideWhenUsed/>
    <w:rsid w:val="0067060A"/>
    <w:pPr>
      <w:spacing w:line="240" w:lineRule="auto"/>
    </w:pPr>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67060A"/>
    <w:rPr>
      <w:rFonts w:ascii="Consolas" w:hAnsi="Consolas"/>
      <w:sz w:val="21"/>
      <w:szCs w:val="21"/>
    </w:rPr>
  </w:style>
  <w:style w:type="paragraph" w:styleId="Titel">
    <w:name w:val="Title"/>
    <w:basedOn w:val="Standaard"/>
    <w:next w:val="Standaard"/>
    <w:link w:val="TitelChar"/>
    <w:uiPriority w:val="10"/>
    <w:rsid w:val="0067060A"/>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7060A"/>
    <w:rPr>
      <w:rFonts w:asciiTheme="majorHAnsi" w:eastAsiaTheme="majorEastAsia" w:hAnsiTheme="majorHAnsi" w:cstheme="majorBidi"/>
      <w:spacing w:val="-10"/>
      <w:kern w:val="28"/>
      <w:sz w:val="56"/>
      <w:szCs w:val="56"/>
    </w:rPr>
  </w:style>
  <w:style w:type="paragraph" w:styleId="Voetnoottekst">
    <w:name w:val="footnote text"/>
    <w:basedOn w:val="Standaard"/>
    <w:link w:val="VoetnoottekstChar"/>
    <w:uiPriority w:val="99"/>
    <w:semiHidden/>
    <w:unhideWhenUsed/>
    <w:rsid w:val="0067060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67060A"/>
    <w:rPr>
      <w:rFonts w:ascii="Verdana" w:hAnsi="Verdana"/>
      <w:sz w:val="20"/>
      <w:szCs w:val="20"/>
    </w:rPr>
  </w:style>
  <w:style w:type="paragraph" w:styleId="Voettekst">
    <w:name w:val="footer"/>
    <w:basedOn w:val="Standaard"/>
    <w:link w:val="VoettekstChar"/>
    <w:uiPriority w:val="99"/>
    <w:semiHidden/>
    <w:unhideWhenUsed/>
    <w:rsid w:val="0067060A"/>
    <w:pPr>
      <w:tabs>
        <w:tab w:val="center" w:pos="4513"/>
        <w:tab w:val="right" w:pos="9026"/>
      </w:tabs>
      <w:spacing w:line="240" w:lineRule="auto"/>
    </w:pPr>
  </w:style>
  <w:style w:type="character" w:customStyle="1" w:styleId="VoettekstChar">
    <w:name w:val="Voettekst Char"/>
    <w:basedOn w:val="Standaardalinea-lettertype"/>
    <w:link w:val="Voettekst"/>
    <w:uiPriority w:val="99"/>
    <w:semiHidden/>
    <w:rsid w:val="0067060A"/>
    <w:rPr>
      <w:rFonts w:ascii="Verdana" w:hAnsi="Verdana"/>
      <w:sz w:val="21"/>
    </w:rPr>
  </w:style>
  <w:style w:type="character" w:styleId="GevolgdeHyperlink">
    <w:name w:val="FollowedHyperlink"/>
    <w:basedOn w:val="Standaardalinea-lettertype"/>
    <w:uiPriority w:val="99"/>
    <w:semiHidden/>
    <w:unhideWhenUsed/>
    <w:rsid w:val="0067060A"/>
    <w:rPr>
      <w:color w:val="800080" w:themeColor="followedHyperlink"/>
      <w:u w:val="single"/>
    </w:rPr>
  </w:style>
  <w:style w:type="character" w:styleId="Zwaar">
    <w:name w:val="Strong"/>
    <w:basedOn w:val="Standaardalinea-lettertype"/>
    <w:uiPriority w:val="22"/>
    <w:qFormat/>
    <w:rsid w:val="00BC14AE"/>
    <w:rPr>
      <w:b/>
      <w:bCs/>
    </w:rPr>
  </w:style>
  <w:style w:type="paragraph" w:customStyle="1" w:styleId="paragraph">
    <w:name w:val="paragraph"/>
    <w:basedOn w:val="Standaard"/>
    <w:rsid w:val="00177380"/>
    <w:pPr>
      <w:spacing w:before="100" w:beforeAutospacing="1" w:after="100" w:afterAutospacing="1" w:line="240" w:lineRule="auto"/>
    </w:pPr>
    <w:rPr>
      <w:rFonts w:ascii="Calibri" w:hAnsi="Calibri" w:cs="Calibri"/>
      <w:sz w:val="22"/>
      <w:lang w:eastAsia="nl-NL"/>
    </w:rPr>
  </w:style>
  <w:style w:type="character" w:customStyle="1" w:styleId="normaltextrun">
    <w:name w:val="normaltextrun"/>
    <w:basedOn w:val="Standaardalinea-lettertype"/>
    <w:rsid w:val="00177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15923">
      <w:bodyDiv w:val="1"/>
      <w:marLeft w:val="0"/>
      <w:marRight w:val="0"/>
      <w:marTop w:val="0"/>
      <w:marBottom w:val="0"/>
      <w:divBdr>
        <w:top w:val="none" w:sz="0" w:space="0" w:color="auto"/>
        <w:left w:val="none" w:sz="0" w:space="0" w:color="auto"/>
        <w:bottom w:val="none" w:sz="0" w:space="0" w:color="auto"/>
        <w:right w:val="none" w:sz="0" w:space="0" w:color="auto"/>
      </w:divBdr>
    </w:div>
    <w:div w:id="165874316">
      <w:bodyDiv w:val="1"/>
      <w:marLeft w:val="0"/>
      <w:marRight w:val="0"/>
      <w:marTop w:val="0"/>
      <w:marBottom w:val="0"/>
      <w:divBdr>
        <w:top w:val="none" w:sz="0" w:space="0" w:color="auto"/>
        <w:left w:val="none" w:sz="0" w:space="0" w:color="auto"/>
        <w:bottom w:val="none" w:sz="0" w:space="0" w:color="auto"/>
        <w:right w:val="none" w:sz="0" w:space="0" w:color="auto"/>
      </w:divBdr>
    </w:div>
    <w:div w:id="177545857">
      <w:bodyDiv w:val="1"/>
      <w:marLeft w:val="0"/>
      <w:marRight w:val="0"/>
      <w:marTop w:val="0"/>
      <w:marBottom w:val="0"/>
      <w:divBdr>
        <w:top w:val="none" w:sz="0" w:space="0" w:color="auto"/>
        <w:left w:val="none" w:sz="0" w:space="0" w:color="auto"/>
        <w:bottom w:val="none" w:sz="0" w:space="0" w:color="auto"/>
        <w:right w:val="none" w:sz="0" w:space="0" w:color="auto"/>
      </w:divBdr>
    </w:div>
    <w:div w:id="326173603">
      <w:bodyDiv w:val="1"/>
      <w:marLeft w:val="0"/>
      <w:marRight w:val="0"/>
      <w:marTop w:val="0"/>
      <w:marBottom w:val="0"/>
      <w:divBdr>
        <w:top w:val="none" w:sz="0" w:space="0" w:color="auto"/>
        <w:left w:val="none" w:sz="0" w:space="0" w:color="auto"/>
        <w:bottom w:val="none" w:sz="0" w:space="0" w:color="auto"/>
        <w:right w:val="none" w:sz="0" w:space="0" w:color="auto"/>
      </w:divBdr>
    </w:div>
    <w:div w:id="424225348">
      <w:bodyDiv w:val="1"/>
      <w:marLeft w:val="0"/>
      <w:marRight w:val="0"/>
      <w:marTop w:val="0"/>
      <w:marBottom w:val="0"/>
      <w:divBdr>
        <w:top w:val="none" w:sz="0" w:space="0" w:color="auto"/>
        <w:left w:val="none" w:sz="0" w:space="0" w:color="auto"/>
        <w:bottom w:val="none" w:sz="0" w:space="0" w:color="auto"/>
        <w:right w:val="none" w:sz="0" w:space="0" w:color="auto"/>
      </w:divBdr>
    </w:div>
    <w:div w:id="507408027">
      <w:bodyDiv w:val="1"/>
      <w:marLeft w:val="0"/>
      <w:marRight w:val="0"/>
      <w:marTop w:val="0"/>
      <w:marBottom w:val="0"/>
      <w:divBdr>
        <w:top w:val="none" w:sz="0" w:space="0" w:color="auto"/>
        <w:left w:val="none" w:sz="0" w:space="0" w:color="auto"/>
        <w:bottom w:val="none" w:sz="0" w:space="0" w:color="auto"/>
        <w:right w:val="none" w:sz="0" w:space="0" w:color="auto"/>
      </w:divBdr>
    </w:div>
    <w:div w:id="884487782">
      <w:bodyDiv w:val="1"/>
      <w:marLeft w:val="0"/>
      <w:marRight w:val="0"/>
      <w:marTop w:val="0"/>
      <w:marBottom w:val="0"/>
      <w:divBdr>
        <w:top w:val="none" w:sz="0" w:space="0" w:color="auto"/>
        <w:left w:val="none" w:sz="0" w:space="0" w:color="auto"/>
        <w:bottom w:val="none" w:sz="0" w:space="0" w:color="auto"/>
        <w:right w:val="none" w:sz="0" w:space="0" w:color="auto"/>
      </w:divBdr>
    </w:div>
    <w:div w:id="903567638">
      <w:bodyDiv w:val="1"/>
      <w:marLeft w:val="0"/>
      <w:marRight w:val="0"/>
      <w:marTop w:val="0"/>
      <w:marBottom w:val="0"/>
      <w:divBdr>
        <w:top w:val="none" w:sz="0" w:space="0" w:color="auto"/>
        <w:left w:val="none" w:sz="0" w:space="0" w:color="auto"/>
        <w:bottom w:val="none" w:sz="0" w:space="0" w:color="auto"/>
        <w:right w:val="none" w:sz="0" w:space="0" w:color="auto"/>
      </w:divBdr>
    </w:div>
    <w:div w:id="908729043">
      <w:bodyDiv w:val="1"/>
      <w:marLeft w:val="0"/>
      <w:marRight w:val="0"/>
      <w:marTop w:val="0"/>
      <w:marBottom w:val="0"/>
      <w:divBdr>
        <w:top w:val="none" w:sz="0" w:space="0" w:color="auto"/>
        <w:left w:val="none" w:sz="0" w:space="0" w:color="auto"/>
        <w:bottom w:val="none" w:sz="0" w:space="0" w:color="auto"/>
        <w:right w:val="none" w:sz="0" w:space="0" w:color="auto"/>
      </w:divBdr>
      <w:divsChild>
        <w:div w:id="672344809">
          <w:marLeft w:val="0"/>
          <w:marRight w:val="0"/>
          <w:marTop w:val="0"/>
          <w:marBottom w:val="0"/>
          <w:divBdr>
            <w:top w:val="none" w:sz="0" w:space="0" w:color="auto"/>
            <w:left w:val="none" w:sz="0" w:space="0" w:color="auto"/>
            <w:bottom w:val="none" w:sz="0" w:space="0" w:color="auto"/>
            <w:right w:val="none" w:sz="0" w:space="0" w:color="auto"/>
          </w:divBdr>
        </w:div>
      </w:divsChild>
    </w:div>
    <w:div w:id="947276038">
      <w:bodyDiv w:val="1"/>
      <w:marLeft w:val="0"/>
      <w:marRight w:val="0"/>
      <w:marTop w:val="0"/>
      <w:marBottom w:val="0"/>
      <w:divBdr>
        <w:top w:val="none" w:sz="0" w:space="0" w:color="auto"/>
        <w:left w:val="none" w:sz="0" w:space="0" w:color="auto"/>
        <w:bottom w:val="none" w:sz="0" w:space="0" w:color="auto"/>
        <w:right w:val="none" w:sz="0" w:space="0" w:color="auto"/>
      </w:divBdr>
    </w:div>
    <w:div w:id="1285385289">
      <w:bodyDiv w:val="1"/>
      <w:marLeft w:val="0"/>
      <w:marRight w:val="0"/>
      <w:marTop w:val="0"/>
      <w:marBottom w:val="0"/>
      <w:divBdr>
        <w:top w:val="none" w:sz="0" w:space="0" w:color="auto"/>
        <w:left w:val="none" w:sz="0" w:space="0" w:color="auto"/>
        <w:bottom w:val="none" w:sz="0" w:space="0" w:color="auto"/>
        <w:right w:val="none" w:sz="0" w:space="0" w:color="auto"/>
      </w:divBdr>
    </w:div>
    <w:div w:id="1478958688">
      <w:bodyDiv w:val="1"/>
      <w:marLeft w:val="0"/>
      <w:marRight w:val="0"/>
      <w:marTop w:val="0"/>
      <w:marBottom w:val="0"/>
      <w:divBdr>
        <w:top w:val="none" w:sz="0" w:space="0" w:color="auto"/>
        <w:left w:val="none" w:sz="0" w:space="0" w:color="auto"/>
        <w:bottom w:val="none" w:sz="0" w:space="0" w:color="auto"/>
        <w:right w:val="none" w:sz="0" w:space="0" w:color="auto"/>
      </w:divBdr>
    </w:div>
    <w:div w:id="1519392848">
      <w:bodyDiv w:val="1"/>
      <w:marLeft w:val="0"/>
      <w:marRight w:val="0"/>
      <w:marTop w:val="0"/>
      <w:marBottom w:val="0"/>
      <w:divBdr>
        <w:top w:val="none" w:sz="0" w:space="0" w:color="auto"/>
        <w:left w:val="none" w:sz="0" w:space="0" w:color="auto"/>
        <w:bottom w:val="none" w:sz="0" w:space="0" w:color="auto"/>
        <w:right w:val="none" w:sz="0" w:space="0" w:color="auto"/>
      </w:divBdr>
    </w:div>
    <w:div w:id="1700007232">
      <w:bodyDiv w:val="1"/>
      <w:marLeft w:val="0"/>
      <w:marRight w:val="0"/>
      <w:marTop w:val="0"/>
      <w:marBottom w:val="0"/>
      <w:divBdr>
        <w:top w:val="none" w:sz="0" w:space="0" w:color="auto"/>
        <w:left w:val="none" w:sz="0" w:space="0" w:color="auto"/>
        <w:bottom w:val="none" w:sz="0" w:space="0" w:color="auto"/>
        <w:right w:val="none" w:sz="0" w:space="0" w:color="auto"/>
      </w:divBdr>
    </w:div>
    <w:div w:id="1781559218">
      <w:bodyDiv w:val="1"/>
      <w:marLeft w:val="0"/>
      <w:marRight w:val="0"/>
      <w:marTop w:val="0"/>
      <w:marBottom w:val="0"/>
      <w:divBdr>
        <w:top w:val="none" w:sz="0" w:space="0" w:color="auto"/>
        <w:left w:val="none" w:sz="0" w:space="0" w:color="auto"/>
        <w:bottom w:val="none" w:sz="0" w:space="0" w:color="auto"/>
        <w:right w:val="none" w:sz="0" w:space="0" w:color="auto"/>
      </w:divBdr>
    </w:div>
    <w:div w:id="1786463646">
      <w:bodyDiv w:val="1"/>
      <w:marLeft w:val="0"/>
      <w:marRight w:val="0"/>
      <w:marTop w:val="0"/>
      <w:marBottom w:val="0"/>
      <w:divBdr>
        <w:top w:val="none" w:sz="0" w:space="0" w:color="auto"/>
        <w:left w:val="none" w:sz="0" w:space="0" w:color="auto"/>
        <w:bottom w:val="none" w:sz="0" w:space="0" w:color="auto"/>
        <w:right w:val="none" w:sz="0" w:space="0" w:color="auto"/>
      </w:divBdr>
    </w:div>
    <w:div w:id="1925457365">
      <w:bodyDiv w:val="1"/>
      <w:marLeft w:val="0"/>
      <w:marRight w:val="0"/>
      <w:marTop w:val="0"/>
      <w:marBottom w:val="0"/>
      <w:divBdr>
        <w:top w:val="none" w:sz="0" w:space="0" w:color="auto"/>
        <w:left w:val="none" w:sz="0" w:space="0" w:color="auto"/>
        <w:bottom w:val="none" w:sz="0" w:space="0" w:color="auto"/>
        <w:right w:val="none" w:sz="0" w:space="0" w:color="auto"/>
      </w:divBdr>
    </w:div>
    <w:div w:id="2033414574">
      <w:bodyDiv w:val="1"/>
      <w:marLeft w:val="0"/>
      <w:marRight w:val="0"/>
      <w:marTop w:val="0"/>
      <w:marBottom w:val="0"/>
      <w:divBdr>
        <w:top w:val="none" w:sz="0" w:space="0" w:color="auto"/>
        <w:left w:val="none" w:sz="0" w:space="0" w:color="auto"/>
        <w:bottom w:val="none" w:sz="0" w:space="0" w:color="auto"/>
        <w:right w:val="none" w:sz="0" w:space="0" w:color="auto"/>
      </w:divBdr>
    </w:div>
    <w:div w:id="205129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nb.nl/publicaties/publicaties-onderzoek/working-paper-2025/830-inequality-along-the-european-green-transition/" TargetMode="External"/><Relationship Id="rId18" Type="http://schemas.openxmlformats.org/officeDocument/2006/relationships/hyperlink" Target="https://www.dnb.nl/publicaties/publicaties-onderzoek/analyse/het-effect-van-begrotingsbeleid-op-inflatie/" TargetMode="External"/><Relationship Id="rId26" Type="http://schemas.openxmlformats.org/officeDocument/2006/relationships/hyperlink" Target="https://www.sciencedirect.com/science/article/pii/S0014292124002629" TargetMode="External"/><Relationship Id="rId39" Type="http://schemas.openxmlformats.org/officeDocument/2006/relationships/hyperlink" Target="https://www.suerf.org/publications/suerf-policy-notes-and-briefs/forecasting-dutch-inflation-using-machine-learning-methods/" TargetMode="External"/><Relationship Id="rId21" Type="http://schemas.openxmlformats.org/officeDocument/2006/relationships/hyperlink" Target="https://www.cambridge.org/core/journals/journal-of-financial-literacy-and-wellbeing/article/financial-literacy-in-the-dnb-household-survey-insights-from-innovative-data-collection/F37EB6F2885B329125C84D5481201F82" TargetMode="External"/><Relationship Id="rId34" Type="http://schemas.openxmlformats.org/officeDocument/2006/relationships/hyperlink" Target="https://www.dnb.nl/en/publications/research-publications/working-paper-2023/775-shocks-to-occupational-pensions-and-household-savings/" TargetMode="External"/><Relationship Id="rId42" Type="http://schemas.openxmlformats.org/officeDocument/2006/relationships/hyperlink" Target="https://eur04.safelinks.protection.outlook.com/?url=https%3A%2F%2Fesb.nu%2Ftoekomst-energie-intensieve-industrie-vergt-europese-coordinatie%2F&amp;data=05%7C02%7Cj.h.m.kok-stuijfzand%40dnb.nl%7Cfd1d9997514b41e7053008dd819ad544%7C9ecbd6280072405d856732c6750b0d3e%7C0%7C0%7C638809224177908048%7CUnknown%7CTWFpbGZsb3d8eyJFbXB0eU1hcGkiOnRydWUsIlYiOiIwLjAuMDAwMCIsIlAiOiJXaW4zMiIsIkFOIjoiTWFpbCIsIldUIjoyfQ%3D%3D%7C0%7C%7C%7C&amp;sdata=hlUpYFHrmjpQyriDtc8VJBkLe1tkLL0rdd5YnXBRdBc%3D&amp;reserved=0" TargetMode="External"/><Relationship Id="rId47" Type="http://schemas.openxmlformats.org/officeDocument/2006/relationships/hyperlink" Target="https://www.dnb.nl/publicaties/publicaties-onderzoek/working-paper-2025/830-inequality-along-the-european-green-transition/" TargetMode="External"/><Relationship Id="rId50" Type="http://schemas.openxmlformats.org/officeDocument/2006/relationships/hyperlink" Target="mailto:Office.ebo@dnb.nl"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ecb.europa.eu/pub/pdf/scpwps/ecb.wp3016~c0bef6e424.en.pdf?b912233fa89cb2bec28aca944945e7d3" TargetMode="External"/><Relationship Id="rId29" Type="http://schemas.openxmlformats.org/officeDocument/2006/relationships/hyperlink" Target="https://hstalks.com/article/9025/can-paying-become-too-easy-questions-regarding-fri/" TargetMode="External"/><Relationship Id="rId11" Type="http://schemas.openxmlformats.org/officeDocument/2006/relationships/image" Target="media/image8.png"/><Relationship Id="rId24" Type="http://schemas.openxmlformats.org/officeDocument/2006/relationships/hyperlink" Target="https://www.sciencedirect.com/science/article/pii/S0014292125000042" TargetMode="External"/><Relationship Id="rId32" Type="http://schemas.openxmlformats.org/officeDocument/2006/relationships/hyperlink" Target="https://papers.ssrn.com/sol3/papers.cfm?abstract_id=4304056" TargetMode="External"/><Relationship Id="rId37" Type="http://schemas.openxmlformats.org/officeDocument/2006/relationships/hyperlink" Target="https://esb.nu/inflatie-in-nederland-loopt-uit-de-pas-met-de-eurozone/" TargetMode="External"/><Relationship Id="rId40" Type="http://schemas.openxmlformats.org/officeDocument/2006/relationships/hyperlink" Target="https://www.suerf.org/publications/suerf-policy-notes-and-briefs/why-gradual-and-predictable-bank-lending-and-real-economy-during-sharp-qt/" TargetMode="External"/><Relationship Id="rId45" Type="http://schemas.openxmlformats.org/officeDocument/2006/relationships/hyperlink" Target="https://www.sciencedirect.com/science/article/pii/S0014292124002629?via%3Dihub"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onlinelibrary.wiley.com/doi/full/10.1002/ijfe.2958" TargetMode="External"/><Relationship Id="rId31" Type="http://schemas.openxmlformats.org/officeDocument/2006/relationships/hyperlink" Target="https://carrieralexandre.github.io/assets/Carrier_Mavromatis_2025April.pdf" TargetMode="External"/><Relationship Id="rId44" Type="http://schemas.openxmlformats.org/officeDocument/2006/relationships/hyperlink" Target="https://carrieralexandre.github.io/assets/Carrier_Mavromatis_2025April.pdf"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dnb.nl/publicaties/publicaties-onderzoek/working-paper-2025/829-long-run-inflation-expectations/" TargetMode="External"/><Relationship Id="rId22" Type="http://schemas.openxmlformats.org/officeDocument/2006/relationships/hyperlink" Target="https://link.springer.com/article/10.1007/s10645-025-09449-7" TargetMode="External"/><Relationship Id="rId27" Type="http://schemas.openxmlformats.org/officeDocument/2006/relationships/hyperlink" Target="https://link.springer.com/article/10.1007/s10663-024-09627-x" TargetMode="External"/><Relationship Id="rId30" Type="http://schemas.openxmlformats.org/officeDocument/2006/relationships/hyperlink" Target="https://academic.oup.com/edited-volume/59905/chapter-abstract/512443731" TargetMode="External"/><Relationship Id="rId35" Type="http://schemas.openxmlformats.org/officeDocument/2006/relationships/hyperlink" Target="https://www.ecb.europa.eu/pub/pdf/scpwps/ecb.wp2620~3a61a7d326.en.pdf" TargetMode="External"/><Relationship Id="rId43" Type="http://schemas.openxmlformats.org/officeDocument/2006/relationships/hyperlink" Target="https://esb.nu/effect-co%E2%82%82-beprijzing-verschilt-sterk-tussen-industriele-bedrijven/" TargetMode="External"/><Relationship Id="rId48" Type="http://schemas.openxmlformats.org/officeDocument/2006/relationships/image" Target="media/image9.jpeg"/><Relationship Id="rId8" Type="http://schemas.openxmlformats.org/officeDocument/2006/relationships/styles" Target="styles.xml"/><Relationship Id="rId51" Type="http://schemas.openxmlformats.org/officeDocument/2006/relationships/image" Target="media/image10.png"/><Relationship Id="rId3" Type="http://schemas.openxmlformats.org/officeDocument/2006/relationships/customXml" Target="../customXml/item3.xml"/><Relationship Id="rId12" Type="http://schemas.openxmlformats.org/officeDocument/2006/relationships/hyperlink" Target="https://www.dnb.nl/publicaties/publicaties-onderzoek/working-paper-2025/831-payment-literacy-pays-off-higher-trust-and-financial-inclusion/" TargetMode="External"/><Relationship Id="rId17" Type="http://schemas.openxmlformats.org/officeDocument/2006/relationships/hyperlink" Target="https://www.dnb.nl/publicaties/publicaties-onderzoek/analyse/heterogeniteit-van-de-effecten-van-een-co2-belasting-op-de-nederlandse-industrie/" TargetMode="External"/><Relationship Id="rId25" Type="http://schemas.openxmlformats.org/officeDocument/2006/relationships/hyperlink" Target="https://hdsr.mitpress.mit.edu/pub/yj9bmui7/release/2" TargetMode="External"/><Relationship Id="rId33" Type="http://schemas.openxmlformats.org/officeDocument/2006/relationships/hyperlink" Target="https://pubsonline.informs.org/doi/pdf/10.1287/mnsc.2023.00425" TargetMode="External"/><Relationship Id="rId38" Type="http://schemas.openxmlformats.org/officeDocument/2006/relationships/hyperlink" Target="https://www.suerf.org/publications/suerf-policy-notes-and-briefs/the-challenge-of-asset-allocation-with-illiquid-private-investments/" TargetMode="External"/><Relationship Id="rId46" Type="http://schemas.openxmlformats.org/officeDocument/2006/relationships/hyperlink" Target="https://www.dnb.nl/media/r2lltqhd/working_paper_no-829.pdf" TargetMode="External"/><Relationship Id="rId20" Type="http://schemas.openxmlformats.org/officeDocument/2006/relationships/hyperlink" Target="https://onlinelibrary.wiley.com/doi/epdf/10.1111/jmcb.13100" TargetMode="External"/><Relationship Id="rId41" Type="http://schemas.openxmlformats.org/officeDocument/2006/relationships/hyperlink" Target="https://www.ecb.europa.eu/press/financial-stability-publications/macroprudential-bulletin/html/ecb.mpbu202502_01~f4914a46c1.en.html"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dnb.nl/publicaties/publicaties-onderzoek/working-paper-2025/828-forecasting-dutch-inflation-using-machine-learning-methods/" TargetMode="External"/><Relationship Id="rId23" Type="http://schemas.openxmlformats.org/officeDocument/2006/relationships/hyperlink" Target="https://www.sciencedirect.com/science/article/pii/S0929119925000161" TargetMode="External"/><Relationship Id="rId28" Type="http://schemas.openxmlformats.org/officeDocument/2006/relationships/hyperlink" Target="https://www.tandfonline.com/doi/full/10.1080/00343404.2024.2442500" TargetMode="External"/><Relationship Id="rId36" Type="http://schemas.openxmlformats.org/officeDocument/2006/relationships/hyperlink" Target="https://www.dnb.nl/en/research/publications/" TargetMode="External"/><Relationship Id="rId49" Type="http://schemas.openxmlformats.org/officeDocument/2006/relationships/hyperlink" Target="https://research.rug.nl/en/publications/uncertainty-large-shocks-and-economic-policy"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NB Taak Document" ma:contentTypeID="0x0101001A9AF98CE4D646E7BAD5E0A615FBC45700531684C5AA7845B1B8AD3BF3F8A4C4F8002B0E3288914FB24BAE7B302499C5810D" ma:contentTypeVersion="42" ma:contentTypeDescription="DNB Taak Document" ma:contentTypeScope="" ma:versionID="e51dfaf47636d7638e670fb1ccd5a314">
  <xsd:schema xmlns:xsd="http://www.w3.org/2001/XMLSchema" xmlns:xs="http://www.w3.org/2001/XMLSchema" xmlns:p="http://schemas.microsoft.com/office/2006/metadata/properties" xmlns:ns2="f072c7c8-c0ca-48e9-a9c4-2a029bcf732c" xmlns:ns3="http://schemas.dnb.nl/sharepoint" xmlns:ns4="fa8d15ea-f783-46e4-8ab1-6fe0cbf0d5f3" xmlns:ns5="e311a212-41bc-4187-a31d-46f798606195" targetNamespace="http://schemas.microsoft.com/office/2006/metadata/properties" ma:root="true" ma:fieldsID="46ec96a3db6eca527714cef96f2ae57d" ns2:_="" ns3:_="" ns4:_="" ns5:_="">
    <xsd:import namespace="f072c7c8-c0ca-48e9-a9c4-2a029bcf732c"/>
    <xsd:import namespace="http://schemas.dnb.nl/sharepoint"/>
    <xsd:import namespace="fa8d15ea-f783-46e4-8ab1-6fe0cbf0d5f3"/>
    <xsd:import namespace="e311a212-41bc-4187-a31d-46f798606195"/>
    <xsd:element name="properties">
      <xsd:complexType>
        <xsd:sequence>
          <xsd:element name="documentManagement">
            <xsd:complexType>
              <xsd:all>
                <xsd:element ref="ns2:DNB_AuteurFix" minOccurs="0"/>
                <xsd:element ref="ns2:DNB_Ontvanger" minOccurs="0"/>
                <xsd:element ref="ns2:DNB_CCOntvanger" minOccurs="0"/>
                <xsd:element ref="ns2:DNB_Opmerkingen" minOccurs="0"/>
                <xsd:element ref="ns2:DNB_Sjabloon" minOccurs="0"/>
                <xsd:element ref="ns2:DNB_EmTo" minOccurs="0"/>
                <xsd:element ref="ns2:DNB_EmFromName" minOccurs="0"/>
                <xsd:element ref="ns2:DNB_EmCC" minOccurs="0"/>
                <xsd:element ref="ns2:DNB_EmDate" minOccurs="0"/>
                <xsd:element ref="ns2:DNB_EmAttachCount" minOccurs="0"/>
                <xsd:element ref="ns2:DNB_EmAttachmentNames" minOccurs="0"/>
                <xsd:element ref="ns2:DNB_Distributie" minOccurs="0"/>
                <xsd:element ref="ns3:_dlc_DocId" minOccurs="0"/>
                <xsd:element ref="ns3:_dlc_DocIdUrl" minOccurs="0"/>
                <xsd:element ref="ns4:MediaServiceKeyPoints" minOccurs="0"/>
                <xsd:element ref="ns2:m2811a07b6c6fd47188d63596ada41d4" minOccurs="0"/>
                <xsd:element ref="ns4:MediaServiceAutoKeyPoints" minOccurs="0"/>
                <xsd:element ref="ns2:TaxCatchAll" minOccurs="0"/>
                <xsd:element ref="ns4:MediaServiceFastMetadata" minOccurs="0"/>
                <xsd:element ref="ns2:f416c62b8084a6924c1caabc0cb60db6" minOccurs="0"/>
                <xsd:element ref="ns4:MediaServiceMetadata" minOccurs="0"/>
                <xsd:element ref="ns2:_dlc_DocIdPersistId" minOccurs="0"/>
                <xsd:element ref="ns2:od8e6e3d90a0498c44d1c8f50b765f78" minOccurs="0"/>
                <xsd:element ref="ns2:TaxCatchAllLabel" minOccurs="0"/>
                <xsd:element ref="ns2:lda0e043566dcacd3d66b94d90c3f946" minOccurs="0"/>
                <xsd:element ref="ns5:SharedWithUsers" minOccurs="0"/>
                <xsd:element ref="ns5:SharedWithDetails" minOccurs="0"/>
                <xsd:element ref="ns4:MediaServiceObjectDetectorVersions" minOccurs="0"/>
                <xsd:element ref="ns2:necaf4278cf449b68edc9fc9fb7d70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2c7c8-c0ca-48e9-a9c4-2a029bcf732c" elementFormDefault="qualified">
    <xsd:import namespace="http://schemas.microsoft.com/office/2006/documentManagement/types"/>
    <xsd:import namespace="http://schemas.microsoft.com/office/infopath/2007/PartnerControls"/>
    <xsd:element name="DNB_AuteurFix" ma:index="4" nillable="true" ma:displayName="Author" ma:SearchPeopleOnly="false" ma:internalName="DNB_AuteurFix">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NB_Ontvanger" ma:index="5" nillable="true" ma:displayName="Recipient" ma:SearchPeopleOnly="false" ma:internalName="DNB_Ontvan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NB_CCOntvanger" ma:index="6" nillable="true" ma:displayName="CC Recipient" ma:SearchPeopleOnly="false" ma:internalName="DNB_CCOntvan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NB_Opmerkingen" ma:index="7" nillable="true" ma:displayName="Remarks" ma:hidden="true" ma:internalName="DNB_Opmerkingen">
      <xsd:simpleType>
        <xsd:restriction base="dms:Note"/>
      </xsd:simpleType>
    </xsd:element>
    <xsd:element name="DNB_Sjabloon" ma:index="8" nillable="true" ma:displayName="Sjabloon" ma:hidden="true" ma:internalName="DNB_Sjabloon">
      <xsd:simpleType>
        <xsd:restriction base="dms:Text"/>
      </xsd:simpleType>
    </xsd:element>
    <xsd:element name="DNB_EmTo" ma:index="9" nillable="true" ma:displayName="E-mail To" ma:hidden="true" ma:internalName="DNB_EmTo">
      <xsd:simpleType>
        <xsd:restriction base="dms:Note">
          <xsd:maxLength value="255"/>
        </xsd:restriction>
      </xsd:simpleType>
    </xsd:element>
    <xsd:element name="DNB_EmFromName" ma:index="10" nillable="true" ma:displayName="E-mail From" ma:hidden="true" ma:internalName="DNB_EmFromName">
      <xsd:simpleType>
        <xsd:restriction base="dms:Text"/>
      </xsd:simpleType>
    </xsd:element>
    <xsd:element name="DNB_EmCC" ma:index="11" nillable="true" ma:displayName="E-mail CC" ma:hidden="true" ma:internalName="DNB_EmCC">
      <xsd:simpleType>
        <xsd:restriction base="dms:Note">
          <xsd:maxLength value="255"/>
        </xsd:restriction>
      </xsd:simpleType>
    </xsd:element>
    <xsd:element name="DNB_EmDate" ma:index="12" nillable="true" ma:displayName="E-mail Date" ma:hidden="true" ma:internalName="DNB_EmDate">
      <xsd:simpleType>
        <xsd:restriction base="dms:DateTime"/>
      </xsd:simpleType>
    </xsd:element>
    <xsd:element name="DNB_EmAttachCount" ma:index="13" nillable="true" ma:displayName="E-mail Attachment Count" ma:hidden="true" ma:internalName="DNB_EmAttachCount">
      <xsd:simpleType>
        <xsd:restriction base="dms:Text"/>
      </xsd:simpleType>
    </xsd:element>
    <xsd:element name="DNB_EmAttachmentNames" ma:index="14" nillable="true" ma:displayName="E-mail Attachment Names" ma:hidden="true" ma:internalName="DNB_EmAttachmentNames">
      <xsd:simpleType>
        <xsd:restriction base="dms:Note">
          <xsd:maxLength value="255"/>
        </xsd:restriction>
      </xsd:simpleType>
    </xsd:element>
    <xsd:element name="DNB_Distributie" ma:index="15" nillable="true" ma:displayName="Distributie" ma:default="False" ma:internalName="DNB_Distributie">
      <xsd:simpleType>
        <xsd:restriction base="dms:Boolean"/>
      </xsd:simpleType>
    </xsd:element>
    <xsd:element name="m2811a07b6c6fd47188d63596ada41d4" ma:index="23" nillable="true" ma:taxonomy="true" ma:internalName="m2811a07b6c6fd47188d63596ada41d4" ma:taxonomyFieldName="DNB_Afdeling" ma:displayName="Department" ma:fieldId="{62811a07-b6c6-fd47-188d-63596ada41d4}" ma:sspId="b8135cd8-dd77-44d6-bdcc-adbf336672a2" ma:termSetId="f1bb8585-b79d-427a-822a-3c18649c7534" ma:anchorId="b61b89a1-fb9f-476c-9b0d-f5c5c893d3bc" ma:open="false" ma:isKeyword="false">
      <xsd:complexType>
        <xsd:sequence>
          <xsd:element ref="pc:Terms" minOccurs="0" maxOccurs="1"/>
        </xsd:sequence>
      </xsd:complexType>
    </xsd:element>
    <xsd:element name="TaxCatchAll" ma:index="25" nillable="true" ma:displayName="Taxonomy Catch All Column" ma:description="" ma:hidden="true" ma:list="{df3a7956-0ff7-4409-94af-dac5a3b60c9a}" ma:internalName="TaxCatchAll" ma:showField="CatchAllData" ma:web="f072c7c8-c0ca-48e9-a9c4-2a029bcf732c">
      <xsd:complexType>
        <xsd:complexContent>
          <xsd:extension base="dms:MultiChoiceLookup">
            <xsd:sequence>
              <xsd:element name="Value" type="dms:Lookup" maxOccurs="unbounded" minOccurs="0" nillable="true"/>
            </xsd:sequence>
          </xsd:extension>
        </xsd:complexContent>
      </xsd:complexType>
    </xsd:element>
    <xsd:element name="f416c62b8084a6924c1caabc0cb60db6" ma:index="30" nillable="true" ma:taxonomy="true" ma:internalName="f416c62b8084a6924c1caabc0cb60db6" ma:taxonomyFieldName="DNB_Divisie" ma:displayName="Division" ma:fieldId="{f416c62b-8084-a692-4c1c-aabc0cb60db6}" ma:sspId="b8135cd8-dd77-44d6-bdcc-adbf336672a2" ma:termSetId="f1bb8585-b79d-427a-822a-3c18649c7534" ma:anchorId="b61b89a1-fb9f-476c-9b0d-f5c5c893d3bc" ma:open="false" ma:isKeyword="false">
      <xsd:complexType>
        <xsd:sequence>
          <xsd:element ref="pc:Terms" minOccurs="0" maxOccurs="1"/>
        </xsd:sequence>
      </xsd:complexType>
    </xsd:element>
    <xsd:element name="_dlc_DocIdPersistId" ma:index="32" nillable="true" ma:displayName="Persist ID" ma:description="Keep ID on add." ma:hidden="true" ma:internalName="_dlc_DocIdPersistId" ma:readOnly="true">
      <xsd:simpleType>
        <xsd:restriction base="dms:Boolean"/>
      </xsd:simpleType>
    </xsd:element>
    <xsd:element name="od8e6e3d90a0498c44d1c8f50b765f78" ma:index="33" ma:taxonomy="true" ma:internalName="od8e6e3d90a0498c44d1c8f50b765f78" ma:taxonomyFieldName="DNB_Taaklabel" ma:displayName="DNB Label" ma:default="" ma:fieldId="{8d8e6e3d-90a0-498c-44d1-c8f50b765f78}" ma:taxonomyMulti="true" ma:sspId="b8135cd8-dd77-44d6-bdcc-adbf336672a2" ma:termSetId="090b21a2-0fe0-4d6c-a6c2-301ed207ecf5" ma:anchorId="d7bb4236-c200-4097-9ed0-0d27cee2a1f4" ma:open="false" ma:isKeyword="false">
      <xsd:complexType>
        <xsd:sequence>
          <xsd:element ref="pc:Terms" minOccurs="0" maxOccurs="1"/>
        </xsd:sequence>
      </xsd:complexType>
    </xsd:element>
    <xsd:element name="TaxCatchAllLabel" ma:index="34" nillable="true" ma:displayName="Taxonomy Catch All Column1" ma:description="" ma:hidden="true" ma:list="{df3a7956-0ff7-4409-94af-dac5a3b60c9a}" ma:internalName="TaxCatchAllLabel" ma:readOnly="true" ma:showField="CatchAllDataLabel" ma:web="f072c7c8-c0ca-48e9-a9c4-2a029bcf732c">
      <xsd:complexType>
        <xsd:complexContent>
          <xsd:extension base="dms:MultiChoiceLookup">
            <xsd:sequence>
              <xsd:element name="Value" type="dms:Lookup" maxOccurs="unbounded" minOccurs="0" nillable="true"/>
            </xsd:sequence>
          </xsd:extension>
        </xsd:complexContent>
      </xsd:complexType>
    </xsd:element>
    <xsd:element name="lda0e043566dcacd3d66b94d90c3f946" ma:index="36" nillable="true" ma:taxonomy="true" ma:internalName="lda0e043566dcacd3d66b94d90c3f946" ma:taxonomyFieldName="DNB_Status" ma:displayName="Document Set Status" ma:default="-1;#Lopend|9178452f-7c5d-4617-8a9d-cb6cbffbcbfc" ma:fieldId="{5da0e043-566d-cacd-3d66-b94d90c3f946}" ma:sspId="b8135cd8-dd77-44d6-bdcc-adbf336672a2" ma:termSetId="2eefb460-0590-4983-a377-038033dfb5f8" ma:anchorId="00000000-0000-0000-0000-000000000000" ma:open="false" ma:isKeyword="false">
      <xsd:complexType>
        <xsd:sequence>
          <xsd:element ref="pc:Terms" minOccurs="0" maxOccurs="1"/>
        </xsd:sequence>
      </xsd:complexType>
    </xsd:element>
    <xsd:element name="necaf4278cf449b68edc9fc9fb7d70f4" ma:index="40" nillable="true" ma:taxonomy="true" ma:internalName="necaf4278cf449b68edc9fc9fb7d70f4" ma:taxonomyFieldName="DNB_Organisatie" ma:displayName="Organisatie" ma:fieldId="{7ecaf427-8cf4-49b6-8edc-9fc9fb7d70f4}" ma:sspId="b8135cd8-dd77-44d6-bdcc-adbf336672a2" ma:termSetId="cff3295c-381d-4bfc-9d04-386d5e3f8dd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dnb.nl/sharepoint"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8d15ea-f783-46e4-8ab1-6fe0cbf0d5f3" elementFormDefault="qualified">
    <xsd:import namespace="http://schemas.microsoft.com/office/2006/documentManagement/types"/>
    <xsd:import namespace="http://schemas.microsoft.com/office/infopath/2007/PartnerControls"/>
    <xsd:element name="MediaServiceKeyPoints" ma:index="22" nillable="true" ma:displayName="KeyPoints" ma:internalName="MediaServiceKeyPoints"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11a212-41bc-4187-a31d-46f798606195"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NB_AuteurFix xmlns="f072c7c8-c0ca-48e9-a9c4-2a029bcf732c">
      <UserInfo>
        <DisplayName/>
        <AccountId xsi:nil="true"/>
        <AccountType/>
      </UserInfo>
    </DNB_AuteurFix>
    <DNB_Sjabloon xmlns="f072c7c8-c0ca-48e9-a9c4-2a029bcf732c" xsi:nil="true"/>
    <necaf4278cf449b68edc9fc9fb7d70f4 xmlns="f072c7c8-c0ca-48e9-a9c4-2a029bcf732c">
      <Terms xmlns="http://schemas.microsoft.com/office/infopath/2007/PartnerControls"/>
    </necaf4278cf449b68edc9fc9fb7d70f4>
    <DNB_Opmerkingen xmlns="f072c7c8-c0ca-48e9-a9c4-2a029bcf732c" xsi:nil="true"/>
    <f416c62b8084a6924c1caabc0cb60db6 xmlns="f072c7c8-c0ca-48e9-a9c4-2a029bcf732c">
      <Terms xmlns="http://schemas.microsoft.com/office/infopath/2007/PartnerControls">
        <TermInfo xmlns="http://schemas.microsoft.com/office/infopath/2007/PartnerControls">
          <TermName xmlns="http://schemas.microsoft.com/office/infopath/2007/PartnerControls">Economisch Beleid ＆ Onderzoek</TermName>
          <TermId xmlns="http://schemas.microsoft.com/office/infopath/2007/PartnerControls">0ec73827-a545-47a2-8bd2-5627e8ce3897</TermId>
        </TermInfo>
      </Terms>
    </f416c62b8084a6924c1caabc0cb60db6>
    <m2811a07b6c6fd47188d63596ada41d4 xmlns="f072c7c8-c0ca-48e9-a9c4-2a029bcf732c">
      <Terms xmlns="http://schemas.microsoft.com/office/infopath/2007/PartnerControls"/>
    </m2811a07b6c6fd47188d63596ada41d4>
    <lda0e043566dcacd3d66b94d90c3f946 xmlns="f072c7c8-c0ca-48e9-a9c4-2a029bcf732c">
      <Terms xmlns="http://schemas.microsoft.com/office/infopath/2007/PartnerControls">
        <TermInfo xmlns="http://schemas.microsoft.com/office/infopath/2007/PartnerControls">
          <TermName xmlns="http://schemas.microsoft.com/office/infopath/2007/PartnerControls">Lopend</TermName>
          <TermId xmlns="http://schemas.microsoft.com/office/infopath/2007/PartnerControls">9178452f-7c5d-4617-8a9d-cb6cbffbcbfc</TermId>
        </TermInfo>
      </Terms>
    </lda0e043566dcacd3d66b94d90c3f946>
    <DNB_EmTo xmlns="f072c7c8-c0ca-48e9-a9c4-2a029bcf732c" xsi:nil="true"/>
    <TaxCatchAll xmlns="f072c7c8-c0ca-48e9-a9c4-2a029bcf732c">
      <Value>88</Value>
      <Value>3</Value>
      <Value>4</Value>
    </TaxCatchAll>
    <DNB_EmAttachmentNames xmlns="f072c7c8-c0ca-48e9-a9c4-2a029bcf732c" xsi:nil="true"/>
    <DNB_EmCC xmlns="f072c7c8-c0ca-48e9-a9c4-2a029bcf732c" xsi:nil="true"/>
    <DNB_Distributie xmlns="f072c7c8-c0ca-48e9-a9c4-2a029bcf732c">false</DNB_Distributie>
    <DNB_EmDate xmlns="f072c7c8-c0ca-48e9-a9c4-2a029bcf732c" xsi:nil="true"/>
    <DNB_CCOntvanger xmlns="f072c7c8-c0ca-48e9-a9c4-2a029bcf732c">
      <UserInfo>
        <DisplayName/>
        <AccountId xsi:nil="true"/>
        <AccountType/>
      </UserInfo>
    </DNB_CCOntvanger>
    <DNB_Ontvanger xmlns="f072c7c8-c0ca-48e9-a9c4-2a029bcf732c">
      <UserInfo>
        <DisplayName/>
        <AccountId xsi:nil="true"/>
        <AccountType/>
      </UserInfo>
    </DNB_Ontvanger>
    <DNB_EmFromName xmlns="f072c7c8-c0ca-48e9-a9c4-2a029bcf732c" xsi:nil="true"/>
    <DNB_EmAttachCount xmlns="f072c7c8-c0ca-48e9-a9c4-2a029bcf732c" xsi:nil="true"/>
    <od8e6e3d90a0498c44d1c8f50b765f78 xmlns="f072c7c8-c0ca-48e9-a9c4-2a029bcf732c">
      <Terms xmlns="http://schemas.microsoft.com/office/infopath/2007/PartnerControls">
        <TermInfo xmlns="http://schemas.microsoft.com/office/infopath/2007/PartnerControls">
          <TermName xmlns="http://schemas.microsoft.com/office/infopath/2007/PartnerControls">DNB research newsletters</TermName>
          <TermId xmlns="http://schemas.microsoft.com/office/infopath/2007/PartnerControls">fff0be3f-7c5e-4609-af5c-f06d50cfa7c1</TermId>
        </TermInfo>
      </Terms>
    </od8e6e3d90a0498c44d1c8f50b765f78>
    <_dlc_DocId xmlns="http://schemas.dnb.nl/sharepoint">T043-1060746451-1075</_dlc_DocId>
    <_dlc_DocIdUrl xmlns="http://schemas.dnb.nl/sharepoint">
      <Url>https://dnbnl.sharepoint.com/sites/TK-EBO/AlgemeneEconomie/_layouts/15/DocIdRedir.aspx?ID=T043-1060746451-1075</Url>
      <Description>T043-1060746451-1075</Description>
    </_dlc_DocIdUrl>
  </documentManagement>
</p:properties>
</file>

<file path=customXml/item5.xml><?xml version="1.0" encoding="utf-8"?>
<?mso-contentType ?>
<SharedContentType xmlns="Microsoft.SharePoint.Taxonomy.ContentTypeSync" SourceId="1e3213a6-3d3a-4fd1-b2e1-5dac641bbf5e" ContentTypeId="0x0101001A9AF98CE4D646E7BAD5E0A615FBC45700531684C5AA7845B1B8AD3BF3F8A4C4F8" PreviousValue="false"/>
</file>

<file path=customXml/item6.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E07EB1F1-AC1A-427C-89DF-717395FB598B}">
  <ds:schemaRefs>
    <ds:schemaRef ds:uri="http://schemas.microsoft.com/sharepoint/v3/contenttype/forms"/>
  </ds:schemaRefs>
</ds:datastoreItem>
</file>

<file path=customXml/itemProps2.xml><?xml version="1.0" encoding="utf-8"?>
<ds:datastoreItem xmlns:ds="http://schemas.openxmlformats.org/officeDocument/2006/customXml" ds:itemID="{FE42869B-D79D-4B3E-9ACF-D0A310351FE8}">
  <ds:schemaRefs>
    <ds:schemaRef ds:uri="http://schemas.microsoft.com/sharepoint/events"/>
    <ds:schemaRef ds:uri=""/>
  </ds:schemaRefs>
</ds:datastoreItem>
</file>

<file path=customXml/itemProps3.xml><?xml version="1.0" encoding="utf-8"?>
<ds:datastoreItem xmlns:ds="http://schemas.openxmlformats.org/officeDocument/2006/customXml" ds:itemID="{FADE42AF-3DA8-429A-97FC-61938579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2c7c8-c0ca-48e9-a9c4-2a029bcf732c"/>
    <ds:schemaRef ds:uri="http://schemas.dnb.nl/sharepoint"/>
    <ds:schemaRef ds:uri="fa8d15ea-f783-46e4-8ab1-6fe0cbf0d5f3"/>
    <ds:schemaRef ds:uri="e311a212-41bc-4187-a31d-46f798606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C046E1-EDAB-44CD-88F1-DF481C050539}">
  <ds:schemaRefs>
    <ds:schemaRef ds:uri="http://schemas.microsoft.com/office/2006/metadata/properties"/>
    <ds:schemaRef ds:uri="http://schemas.microsoft.com/office/infopath/2007/PartnerControls"/>
    <ds:schemaRef ds:uri="f072c7c8-c0ca-48e9-a9c4-2a029bcf732c"/>
    <ds:schemaRef ds:uri="http://schemas.dnb.nl/sharepoint"/>
  </ds:schemaRefs>
</ds:datastoreItem>
</file>

<file path=customXml/itemProps5.xml><?xml version="1.0" encoding="utf-8"?>
<ds:datastoreItem xmlns:ds="http://schemas.openxmlformats.org/officeDocument/2006/customXml" ds:itemID="{6A7284AA-78CC-4253-8F11-D6C18FB5886A}">
  <ds:schemaRefs>
    <ds:schemaRef ds:uri="Microsoft.SharePoint.Taxonomy.ContentTypeSync"/>
  </ds:schemaRefs>
</ds:datastoreItem>
</file>

<file path=customXml/itemProps6.xml><?xml version="1.0" encoding="utf-8"?>
<ds:datastoreItem xmlns:ds="http://schemas.openxmlformats.org/officeDocument/2006/customXml" ds:itemID="{76DCB2D6-7DF1-47EF-B007-1A31944F06DE}">
  <ds:schemaRefs>
    <ds:schemaRef ds:uri="http://schemas.openxmlformats.org/officeDocument/2006/bibliography"/>
  </ds:schemaRefs>
</ds:datastoreItem>
</file>

<file path=docMetadata/LabelInfo.xml><?xml version="1.0" encoding="utf-8"?>
<clbl:labelList xmlns:clbl="http://schemas.microsoft.com/office/2020/mipLabelMetadata">
  <clbl:label id="{fa50054c-3b1c-47aa-aa28-890ddd3f58e8}" enabled="1" method="Standard" siteId="{9ecbd628-0072-405d-8567-32c6750b0d3e}" removed="0"/>
</clbl:labelList>
</file>

<file path=docProps/app.xml><?xml version="1.0" encoding="utf-8"?>
<Properties xmlns="http://schemas.openxmlformats.org/officeDocument/2006/extended-properties" xmlns:vt="http://schemas.openxmlformats.org/officeDocument/2006/docPropsVTypes">
  <Template>Normal</Template>
  <TotalTime>78</TotalTime>
  <Pages>10</Pages>
  <Words>3147</Words>
  <Characters>17938</Characters>
  <Application>Microsoft Office Word</Application>
  <DocSecurity>0</DocSecurity>
  <Lines>149</Lines>
  <Paragraphs>42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DNB Research Newsletter December 2023</vt:lpstr>
      <vt:lpstr>DNB Research Newsletter December 2023</vt:lpstr>
    </vt:vector>
  </TitlesOfParts>
  <Company/>
  <LinksUpToDate>false</LinksUpToDate>
  <CharactersWithSpaces>21043</CharactersWithSpaces>
  <SharedDoc>false</SharedDoc>
  <HLinks>
    <vt:vector size="288" baseType="variant">
      <vt:variant>
        <vt:i4>2621506</vt:i4>
      </vt:variant>
      <vt:variant>
        <vt:i4>144</vt:i4>
      </vt:variant>
      <vt:variant>
        <vt:i4>0</vt:i4>
      </vt:variant>
      <vt:variant>
        <vt:i4>5</vt:i4>
      </vt:variant>
      <vt:variant>
        <vt:lpwstr>mailto:Office.ebo@dnb.nl</vt:lpwstr>
      </vt:variant>
      <vt:variant>
        <vt:lpwstr/>
      </vt:variant>
      <vt:variant>
        <vt:i4>5963782</vt:i4>
      </vt:variant>
      <vt:variant>
        <vt:i4>141</vt:i4>
      </vt:variant>
      <vt:variant>
        <vt:i4>0</vt:i4>
      </vt:variant>
      <vt:variant>
        <vt:i4>5</vt:i4>
      </vt:variant>
      <vt:variant>
        <vt:lpwstr/>
      </vt:variant>
      <vt:variant>
        <vt:lpwstr>R4top</vt:lpwstr>
      </vt:variant>
      <vt:variant>
        <vt:i4>4456462</vt:i4>
      </vt:variant>
      <vt:variant>
        <vt:i4>138</vt:i4>
      </vt:variant>
      <vt:variant>
        <vt:i4>0</vt:i4>
      </vt:variant>
      <vt:variant>
        <vt:i4>5</vt:i4>
      </vt:variant>
      <vt:variant>
        <vt:lpwstr>https://research.rug.nl/en/publications/uncertainty-large-shocks-and-economic-policy</vt:lpwstr>
      </vt:variant>
      <vt:variant>
        <vt:lpwstr/>
      </vt:variant>
      <vt:variant>
        <vt:i4>6029318</vt:i4>
      </vt:variant>
      <vt:variant>
        <vt:i4>135</vt:i4>
      </vt:variant>
      <vt:variant>
        <vt:i4>0</vt:i4>
      </vt:variant>
      <vt:variant>
        <vt:i4>5</vt:i4>
      </vt:variant>
      <vt:variant>
        <vt:lpwstr/>
      </vt:variant>
      <vt:variant>
        <vt:lpwstr>R3top</vt:lpwstr>
      </vt:variant>
      <vt:variant>
        <vt:i4>2359419</vt:i4>
      </vt:variant>
      <vt:variant>
        <vt:i4>132</vt:i4>
      </vt:variant>
      <vt:variant>
        <vt:i4>0</vt:i4>
      </vt:variant>
      <vt:variant>
        <vt:i4>5</vt:i4>
      </vt:variant>
      <vt:variant>
        <vt:lpwstr>https://www.dnb.nl/publicaties/publicaties-onderzoek/working-paper-2025/830-inequality-along-the-european-green-transition/</vt:lpwstr>
      </vt:variant>
      <vt:variant>
        <vt:lpwstr/>
      </vt:variant>
      <vt:variant>
        <vt:i4>3276914</vt:i4>
      </vt:variant>
      <vt:variant>
        <vt:i4>129</vt:i4>
      </vt:variant>
      <vt:variant>
        <vt:i4>0</vt:i4>
      </vt:variant>
      <vt:variant>
        <vt:i4>5</vt:i4>
      </vt:variant>
      <vt:variant>
        <vt:lpwstr/>
      </vt:variant>
      <vt:variant>
        <vt:lpwstr>R2</vt:lpwstr>
      </vt:variant>
      <vt:variant>
        <vt:i4>3604525</vt:i4>
      </vt:variant>
      <vt:variant>
        <vt:i4>126</vt:i4>
      </vt:variant>
      <vt:variant>
        <vt:i4>0</vt:i4>
      </vt:variant>
      <vt:variant>
        <vt:i4>5</vt:i4>
      </vt:variant>
      <vt:variant>
        <vt:lpwstr>https://www.dnb.nl/media/r2lltqhd/working_paper_no-829.pdf</vt:lpwstr>
      </vt:variant>
      <vt:variant>
        <vt:lpwstr/>
      </vt:variant>
      <vt:variant>
        <vt:i4>6160390</vt:i4>
      </vt:variant>
      <vt:variant>
        <vt:i4>123</vt:i4>
      </vt:variant>
      <vt:variant>
        <vt:i4>0</vt:i4>
      </vt:variant>
      <vt:variant>
        <vt:i4>5</vt:i4>
      </vt:variant>
      <vt:variant>
        <vt:lpwstr/>
      </vt:variant>
      <vt:variant>
        <vt:lpwstr>R1top</vt:lpwstr>
      </vt:variant>
      <vt:variant>
        <vt:i4>8126576</vt:i4>
      </vt:variant>
      <vt:variant>
        <vt:i4>120</vt:i4>
      </vt:variant>
      <vt:variant>
        <vt:i4>0</vt:i4>
      </vt:variant>
      <vt:variant>
        <vt:i4>5</vt:i4>
      </vt:variant>
      <vt:variant>
        <vt:lpwstr>https://www.sciencedirect.com/science/article/pii/S0014292124002629?via%3Dihub</vt:lpwstr>
      </vt:variant>
      <vt:variant>
        <vt:lpwstr/>
      </vt:variant>
      <vt:variant>
        <vt:i4>6160390</vt:i4>
      </vt:variant>
      <vt:variant>
        <vt:i4>117</vt:i4>
      </vt:variant>
      <vt:variant>
        <vt:i4>0</vt:i4>
      </vt:variant>
      <vt:variant>
        <vt:i4>5</vt:i4>
      </vt:variant>
      <vt:variant>
        <vt:lpwstr/>
      </vt:variant>
      <vt:variant>
        <vt:lpwstr>R1top</vt:lpwstr>
      </vt:variant>
      <vt:variant>
        <vt:i4>6160390</vt:i4>
      </vt:variant>
      <vt:variant>
        <vt:i4>114</vt:i4>
      </vt:variant>
      <vt:variant>
        <vt:i4>0</vt:i4>
      </vt:variant>
      <vt:variant>
        <vt:i4>5</vt:i4>
      </vt:variant>
      <vt:variant>
        <vt:lpwstr/>
      </vt:variant>
      <vt:variant>
        <vt:lpwstr>R1top</vt:lpwstr>
      </vt:variant>
      <vt:variant>
        <vt:i4>6160390</vt:i4>
      </vt:variant>
      <vt:variant>
        <vt:i4>111</vt:i4>
      </vt:variant>
      <vt:variant>
        <vt:i4>0</vt:i4>
      </vt:variant>
      <vt:variant>
        <vt:i4>5</vt:i4>
      </vt:variant>
      <vt:variant>
        <vt:lpwstr/>
      </vt:variant>
      <vt:variant>
        <vt:lpwstr>R1top</vt:lpwstr>
      </vt:variant>
      <vt:variant>
        <vt:i4>3604591</vt:i4>
      </vt:variant>
      <vt:variant>
        <vt:i4>108</vt:i4>
      </vt:variant>
      <vt:variant>
        <vt:i4>0</vt:i4>
      </vt:variant>
      <vt:variant>
        <vt:i4>5</vt:i4>
      </vt:variant>
      <vt:variant>
        <vt:lpwstr>https://esb.nu/effect-co%E2%82%82-beprijzing-verschilt-sterk-tussen-industriele-bedrijven/</vt:lpwstr>
      </vt:variant>
      <vt:variant>
        <vt:lpwstr/>
      </vt:variant>
      <vt:variant>
        <vt:i4>3342382</vt:i4>
      </vt:variant>
      <vt:variant>
        <vt:i4>105</vt:i4>
      </vt:variant>
      <vt:variant>
        <vt:i4>0</vt:i4>
      </vt:variant>
      <vt:variant>
        <vt:i4>5</vt:i4>
      </vt:variant>
      <vt:variant>
        <vt:lpwstr>https://eur04.safelinks.protection.outlook.com/?url=https%3A%2F%2Fesb.nu%2Ftoekomst-energie-intensieve-industrie-vergt-europese-coordinatie%2F&amp;data=05%7C02%7Cj.h.m.kok-stuijfzand%40dnb.nl%7Cfd1d9997514b41e7053008dd819ad544%7C9ecbd6280072405d856732c6750b0d3e%7C0%7C0%7C638809224177908048%7CUnknown%7CTWFpbGZsb3d8eyJFbXB0eU1hcGkiOnRydWUsIlYiOiIwLjAuMDAwMCIsIlAiOiJXaW4zMiIsIkFOIjoiTWFpbCIsIldUIjoyfQ%3D%3D%7C0%7C%7C%7C&amp;sdata=hlUpYFHrmjpQyriDtc8VJBkLe1tkLL0rdd5YnXBRdBc%3D&amp;reserved=0</vt:lpwstr>
      </vt:variant>
      <vt:variant>
        <vt:lpwstr/>
      </vt:variant>
      <vt:variant>
        <vt:i4>655400</vt:i4>
      </vt:variant>
      <vt:variant>
        <vt:i4>102</vt:i4>
      </vt:variant>
      <vt:variant>
        <vt:i4>0</vt:i4>
      </vt:variant>
      <vt:variant>
        <vt:i4>5</vt:i4>
      </vt:variant>
      <vt:variant>
        <vt:lpwstr>https://www.ecb.europa.eu/press/financial-stability-publications/macroprudential-bulletin/html/ecb.mpbu202502_01~f4914a46c1.en.html</vt:lpwstr>
      </vt:variant>
      <vt:variant>
        <vt:lpwstr/>
      </vt:variant>
      <vt:variant>
        <vt:i4>3407968</vt:i4>
      </vt:variant>
      <vt:variant>
        <vt:i4>99</vt:i4>
      </vt:variant>
      <vt:variant>
        <vt:i4>0</vt:i4>
      </vt:variant>
      <vt:variant>
        <vt:i4>5</vt:i4>
      </vt:variant>
      <vt:variant>
        <vt:lpwstr>https://www.suerf.org/publications/suerf-policy-notes-and-briefs/why-gradual-and-predictable-bank-lending-and-real-economy-during-sharp-qt/</vt:lpwstr>
      </vt:variant>
      <vt:variant>
        <vt:lpwstr/>
      </vt:variant>
      <vt:variant>
        <vt:i4>524356</vt:i4>
      </vt:variant>
      <vt:variant>
        <vt:i4>96</vt:i4>
      </vt:variant>
      <vt:variant>
        <vt:i4>0</vt:i4>
      </vt:variant>
      <vt:variant>
        <vt:i4>5</vt:i4>
      </vt:variant>
      <vt:variant>
        <vt:lpwstr>https://www.suerf.org/publications/suerf-policy-notes-and-briefs/forecasting-dutch-inflation-using-machine-learning-methods/</vt:lpwstr>
      </vt:variant>
      <vt:variant>
        <vt:lpwstr/>
      </vt:variant>
      <vt:variant>
        <vt:i4>6225989</vt:i4>
      </vt:variant>
      <vt:variant>
        <vt:i4>93</vt:i4>
      </vt:variant>
      <vt:variant>
        <vt:i4>0</vt:i4>
      </vt:variant>
      <vt:variant>
        <vt:i4>5</vt:i4>
      </vt:variant>
      <vt:variant>
        <vt:lpwstr>https://www.suerf.org/publications/suerf-policy-notes-and-briefs/the-challenge-of-asset-allocation-with-illiquid-private-investments/</vt:lpwstr>
      </vt:variant>
      <vt:variant>
        <vt:lpwstr/>
      </vt:variant>
      <vt:variant>
        <vt:i4>7471150</vt:i4>
      </vt:variant>
      <vt:variant>
        <vt:i4>90</vt:i4>
      </vt:variant>
      <vt:variant>
        <vt:i4>0</vt:i4>
      </vt:variant>
      <vt:variant>
        <vt:i4>5</vt:i4>
      </vt:variant>
      <vt:variant>
        <vt:lpwstr>https://esb.nu/inflatie-in-nederland-loopt-uit-de-pas-met-de-eurozone/</vt:lpwstr>
      </vt:variant>
      <vt:variant>
        <vt:lpwstr/>
      </vt:variant>
      <vt:variant>
        <vt:i4>393303</vt:i4>
      </vt:variant>
      <vt:variant>
        <vt:i4>87</vt:i4>
      </vt:variant>
      <vt:variant>
        <vt:i4>0</vt:i4>
      </vt:variant>
      <vt:variant>
        <vt:i4>5</vt:i4>
      </vt:variant>
      <vt:variant>
        <vt:lpwstr>https://www.dnb.nl/en/research/publications/</vt:lpwstr>
      </vt:variant>
      <vt:variant>
        <vt:lpwstr/>
      </vt:variant>
      <vt:variant>
        <vt:i4>65562</vt:i4>
      </vt:variant>
      <vt:variant>
        <vt:i4>84</vt:i4>
      </vt:variant>
      <vt:variant>
        <vt:i4>0</vt:i4>
      </vt:variant>
      <vt:variant>
        <vt:i4>5</vt:i4>
      </vt:variant>
      <vt:variant>
        <vt:lpwstr>https://www.ecb.europa.eu/pub/pdf/scpwps/ecb.wp2620~3a61a7d326.en.pdf</vt:lpwstr>
      </vt:variant>
      <vt:variant>
        <vt:lpwstr/>
      </vt:variant>
      <vt:variant>
        <vt:i4>7536742</vt:i4>
      </vt:variant>
      <vt:variant>
        <vt:i4>81</vt:i4>
      </vt:variant>
      <vt:variant>
        <vt:i4>0</vt:i4>
      </vt:variant>
      <vt:variant>
        <vt:i4>5</vt:i4>
      </vt:variant>
      <vt:variant>
        <vt:lpwstr>https://www.dnb.nl/en/publications/research-publications/working-paper-2023/775-shocks-to-occupational-pensions-and-household-savings/</vt:lpwstr>
      </vt:variant>
      <vt:variant>
        <vt:lpwstr/>
      </vt:variant>
      <vt:variant>
        <vt:i4>7340082</vt:i4>
      </vt:variant>
      <vt:variant>
        <vt:i4>78</vt:i4>
      </vt:variant>
      <vt:variant>
        <vt:i4>0</vt:i4>
      </vt:variant>
      <vt:variant>
        <vt:i4>5</vt:i4>
      </vt:variant>
      <vt:variant>
        <vt:lpwstr>https://pubsonline.informs.org/doi/pdf/10.1287/mnsc.2023.00425</vt:lpwstr>
      </vt:variant>
      <vt:variant>
        <vt:lpwstr/>
      </vt:variant>
      <vt:variant>
        <vt:i4>3473482</vt:i4>
      </vt:variant>
      <vt:variant>
        <vt:i4>75</vt:i4>
      </vt:variant>
      <vt:variant>
        <vt:i4>0</vt:i4>
      </vt:variant>
      <vt:variant>
        <vt:i4>5</vt:i4>
      </vt:variant>
      <vt:variant>
        <vt:lpwstr>https://papers.ssrn.com/sol3/papers.cfm?abstract_id=4304056</vt:lpwstr>
      </vt:variant>
      <vt:variant>
        <vt:lpwstr/>
      </vt:variant>
      <vt:variant>
        <vt:i4>5505107</vt:i4>
      </vt:variant>
      <vt:variant>
        <vt:i4>72</vt:i4>
      </vt:variant>
      <vt:variant>
        <vt:i4>0</vt:i4>
      </vt:variant>
      <vt:variant>
        <vt:i4>5</vt:i4>
      </vt:variant>
      <vt:variant>
        <vt:lpwstr>https://carrieralexandre.github.io/assets/Carrier_Mavromatis_2025April.pdf</vt:lpwstr>
      </vt:variant>
      <vt:variant>
        <vt:lpwstr/>
      </vt:variant>
      <vt:variant>
        <vt:i4>2490404</vt:i4>
      </vt:variant>
      <vt:variant>
        <vt:i4>69</vt:i4>
      </vt:variant>
      <vt:variant>
        <vt:i4>0</vt:i4>
      </vt:variant>
      <vt:variant>
        <vt:i4>5</vt:i4>
      </vt:variant>
      <vt:variant>
        <vt:lpwstr>https://academic.oup.com/edited-volume/59905/chapter-abstract/512443731</vt:lpwstr>
      </vt:variant>
      <vt:variant>
        <vt:lpwstr/>
      </vt:variant>
      <vt:variant>
        <vt:i4>65624</vt:i4>
      </vt:variant>
      <vt:variant>
        <vt:i4>66</vt:i4>
      </vt:variant>
      <vt:variant>
        <vt:i4>0</vt:i4>
      </vt:variant>
      <vt:variant>
        <vt:i4>5</vt:i4>
      </vt:variant>
      <vt:variant>
        <vt:lpwstr>https://hstalks.com/article/9025/can-paying-become-too-easy-questions-regarding-fri/</vt:lpwstr>
      </vt:variant>
      <vt:variant>
        <vt:lpwstr/>
      </vt:variant>
      <vt:variant>
        <vt:i4>2162802</vt:i4>
      </vt:variant>
      <vt:variant>
        <vt:i4>63</vt:i4>
      </vt:variant>
      <vt:variant>
        <vt:i4>0</vt:i4>
      </vt:variant>
      <vt:variant>
        <vt:i4>5</vt:i4>
      </vt:variant>
      <vt:variant>
        <vt:lpwstr>https://www.tandfonline.com/doi/full/10.1080/00343404.2024.2442500</vt:lpwstr>
      </vt:variant>
      <vt:variant>
        <vt:lpwstr/>
      </vt:variant>
      <vt:variant>
        <vt:i4>4718596</vt:i4>
      </vt:variant>
      <vt:variant>
        <vt:i4>60</vt:i4>
      </vt:variant>
      <vt:variant>
        <vt:i4>0</vt:i4>
      </vt:variant>
      <vt:variant>
        <vt:i4>5</vt:i4>
      </vt:variant>
      <vt:variant>
        <vt:lpwstr>https://link.springer.com/article/10.1007/s10663-024-09627-x</vt:lpwstr>
      </vt:variant>
      <vt:variant>
        <vt:lpwstr/>
      </vt:variant>
      <vt:variant>
        <vt:i4>6357105</vt:i4>
      </vt:variant>
      <vt:variant>
        <vt:i4>57</vt:i4>
      </vt:variant>
      <vt:variant>
        <vt:i4>0</vt:i4>
      </vt:variant>
      <vt:variant>
        <vt:i4>5</vt:i4>
      </vt:variant>
      <vt:variant>
        <vt:lpwstr>https://www.sciencedirect.com/science/article/pii/S0014292124002629</vt:lpwstr>
      </vt:variant>
      <vt:variant>
        <vt:lpwstr/>
      </vt:variant>
      <vt:variant>
        <vt:i4>327766</vt:i4>
      </vt:variant>
      <vt:variant>
        <vt:i4>54</vt:i4>
      </vt:variant>
      <vt:variant>
        <vt:i4>0</vt:i4>
      </vt:variant>
      <vt:variant>
        <vt:i4>5</vt:i4>
      </vt:variant>
      <vt:variant>
        <vt:lpwstr>https://hdsr.mitpress.mit.edu/pub/yj9bmui7/release/2</vt:lpwstr>
      </vt:variant>
      <vt:variant>
        <vt:lpwstr/>
      </vt:variant>
      <vt:variant>
        <vt:i4>6619254</vt:i4>
      </vt:variant>
      <vt:variant>
        <vt:i4>51</vt:i4>
      </vt:variant>
      <vt:variant>
        <vt:i4>0</vt:i4>
      </vt:variant>
      <vt:variant>
        <vt:i4>5</vt:i4>
      </vt:variant>
      <vt:variant>
        <vt:lpwstr>https://www.sciencedirect.com/science/article/pii/S0014292125000042</vt:lpwstr>
      </vt:variant>
      <vt:variant>
        <vt:lpwstr/>
      </vt:variant>
      <vt:variant>
        <vt:i4>7078003</vt:i4>
      </vt:variant>
      <vt:variant>
        <vt:i4>48</vt:i4>
      </vt:variant>
      <vt:variant>
        <vt:i4>0</vt:i4>
      </vt:variant>
      <vt:variant>
        <vt:i4>5</vt:i4>
      </vt:variant>
      <vt:variant>
        <vt:lpwstr>https://www.sciencedirect.com/science/article/pii/S0929119925000161</vt:lpwstr>
      </vt:variant>
      <vt:variant>
        <vt:lpwstr/>
      </vt:variant>
      <vt:variant>
        <vt:i4>786432</vt:i4>
      </vt:variant>
      <vt:variant>
        <vt:i4>45</vt:i4>
      </vt:variant>
      <vt:variant>
        <vt:i4>0</vt:i4>
      </vt:variant>
      <vt:variant>
        <vt:i4>5</vt:i4>
      </vt:variant>
      <vt:variant>
        <vt:lpwstr>https://link.springer.com/article/10.1007/s10645-025-09449-7</vt:lpwstr>
      </vt:variant>
      <vt:variant>
        <vt:lpwstr/>
      </vt:variant>
      <vt:variant>
        <vt:i4>5111810</vt:i4>
      </vt:variant>
      <vt:variant>
        <vt:i4>42</vt:i4>
      </vt:variant>
      <vt:variant>
        <vt:i4>0</vt:i4>
      </vt:variant>
      <vt:variant>
        <vt:i4>5</vt:i4>
      </vt:variant>
      <vt:variant>
        <vt:lpwstr>https://www.cambridge.org/core/journals/journal-of-financial-literacy-and-wellbeing/article/financial-literacy-in-the-dnb-household-survey-insights-from-innovative-data-collection/F37EB6F2885B329125C84D5481201F82</vt:lpwstr>
      </vt:variant>
      <vt:variant>
        <vt:lpwstr/>
      </vt:variant>
      <vt:variant>
        <vt:i4>3866724</vt:i4>
      </vt:variant>
      <vt:variant>
        <vt:i4>39</vt:i4>
      </vt:variant>
      <vt:variant>
        <vt:i4>0</vt:i4>
      </vt:variant>
      <vt:variant>
        <vt:i4>5</vt:i4>
      </vt:variant>
      <vt:variant>
        <vt:lpwstr>https://onlinelibrary.wiley.com/doi/epdf/10.1111/jmcb.13100</vt:lpwstr>
      </vt:variant>
      <vt:variant>
        <vt:lpwstr/>
      </vt:variant>
      <vt:variant>
        <vt:i4>3276905</vt:i4>
      </vt:variant>
      <vt:variant>
        <vt:i4>36</vt:i4>
      </vt:variant>
      <vt:variant>
        <vt:i4>0</vt:i4>
      </vt:variant>
      <vt:variant>
        <vt:i4>5</vt:i4>
      </vt:variant>
      <vt:variant>
        <vt:lpwstr>https://onlinelibrary.wiley.com/doi/full/10.1002/ijfe.2958</vt:lpwstr>
      </vt:variant>
      <vt:variant>
        <vt:lpwstr/>
      </vt:variant>
      <vt:variant>
        <vt:i4>5439518</vt:i4>
      </vt:variant>
      <vt:variant>
        <vt:i4>33</vt:i4>
      </vt:variant>
      <vt:variant>
        <vt:i4>0</vt:i4>
      </vt:variant>
      <vt:variant>
        <vt:i4>5</vt:i4>
      </vt:variant>
      <vt:variant>
        <vt:lpwstr>https://www.dnb.nl/publicaties/publicaties-onderzoek/analyse/het-effect-van-begrotingsbeleid-op-inflatie/</vt:lpwstr>
      </vt:variant>
      <vt:variant>
        <vt:lpwstr/>
      </vt:variant>
      <vt:variant>
        <vt:i4>6946877</vt:i4>
      </vt:variant>
      <vt:variant>
        <vt:i4>30</vt:i4>
      </vt:variant>
      <vt:variant>
        <vt:i4>0</vt:i4>
      </vt:variant>
      <vt:variant>
        <vt:i4>5</vt:i4>
      </vt:variant>
      <vt:variant>
        <vt:lpwstr>https://www.dnb.nl/publicaties/publicaties-onderzoek/analyse/heterogeniteit-van-de-effecten-van-een-co2-belasting-op-de-nederlandse-industrie/</vt:lpwstr>
      </vt:variant>
      <vt:variant>
        <vt:lpwstr/>
      </vt:variant>
      <vt:variant>
        <vt:i4>6357108</vt:i4>
      </vt:variant>
      <vt:variant>
        <vt:i4>27</vt:i4>
      </vt:variant>
      <vt:variant>
        <vt:i4>0</vt:i4>
      </vt:variant>
      <vt:variant>
        <vt:i4>5</vt:i4>
      </vt:variant>
      <vt:variant>
        <vt:lpwstr>https://www.ecb.europa.eu/pub/pdf/scpwps/ecb.wp3016~c0bef6e424.en.pdf?b912233fa89cb2bec28aca944945e7d3</vt:lpwstr>
      </vt:variant>
      <vt:variant>
        <vt:lpwstr/>
      </vt:variant>
      <vt:variant>
        <vt:i4>6619262</vt:i4>
      </vt:variant>
      <vt:variant>
        <vt:i4>24</vt:i4>
      </vt:variant>
      <vt:variant>
        <vt:i4>0</vt:i4>
      </vt:variant>
      <vt:variant>
        <vt:i4>5</vt:i4>
      </vt:variant>
      <vt:variant>
        <vt:lpwstr>https://www.dnb.nl/publicaties/publicaties-onderzoek/working-paper-2025/828-forecasting-dutch-inflation-using-machine-learning-methods/</vt:lpwstr>
      </vt:variant>
      <vt:variant>
        <vt:lpwstr/>
      </vt:variant>
      <vt:variant>
        <vt:i4>1179670</vt:i4>
      </vt:variant>
      <vt:variant>
        <vt:i4>21</vt:i4>
      </vt:variant>
      <vt:variant>
        <vt:i4>0</vt:i4>
      </vt:variant>
      <vt:variant>
        <vt:i4>5</vt:i4>
      </vt:variant>
      <vt:variant>
        <vt:lpwstr>https://www.dnb.nl/publicaties/publicaties-onderzoek/working-paper-2025/829-long-run-inflation-expectations/</vt:lpwstr>
      </vt:variant>
      <vt:variant>
        <vt:lpwstr/>
      </vt:variant>
      <vt:variant>
        <vt:i4>2359419</vt:i4>
      </vt:variant>
      <vt:variant>
        <vt:i4>18</vt:i4>
      </vt:variant>
      <vt:variant>
        <vt:i4>0</vt:i4>
      </vt:variant>
      <vt:variant>
        <vt:i4>5</vt:i4>
      </vt:variant>
      <vt:variant>
        <vt:lpwstr>https://www.dnb.nl/publicaties/publicaties-onderzoek/working-paper-2025/830-inequality-along-the-european-green-transition/</vt:lpwstr>
      </vt:variant>
      <vt:variant>
        <vt:lpwstr/>
      </vt:variant>
      <vt:variant>
        <vt:i4>8192106</vt:i4>
      </vt:variant>
      <vt:variant>
        <vt:i4>15</vt:i4>
      </vt:variant>
      <vt:variant>
        <vt:i4>0</vt:i4>
      </vt:variant>
      <vt:variant>
        <vt:i4>5</vt:i4>
      </vt:variant>
      <vt:variant>
        <vt:lpwstr>https://www.dnb.nl/publicaties/publicaties-onderzoek/working-paper-2025/831-payment-literacy-pays-off-higher-trust-and-financial-inclusion/</vt:lpwstr>
      </vt:variant>
      <vt:variant>
        <vt:lpwstr/>
      </vt:variant>
      <vt:variant>
        <vt:i4>3407986</vt:i4>
      </vt:variant>
      <vt:variant>
        <vt:i4>12</vt:i4>
      </vt:variant>
      <vt:variant>
        <vt:i4>0</vt:i4>
      </vt:variant>
      <vt:variant>
        <vt:i4>5</vt:i4>
      </vt:variant>
      <vt:variant>
        <vt:lpwstr/>
      </vt:variant>
      <vt:variant>
        <vt:lpwstr>R4</vt:lpwstr>
      </vt:variant>
      <vt:variant>
        <vt:i4>3342450</vt:i4>
      </vt:variant>
      <vt:variant>
        <vt:i4>9</vt:i4>
      </vt:variant>
      <vt:variant>
        <vt:i4>0</vt:i4>
      </vt:variant>
      <vt:variant>
        <vt:i4>5</vt:i4>
      </vt:variant>
      <vt:variant>
        <vt:lpwstr/>
      </vt:variant>
      <vt:variant>
        <vt:lpwstr>R3</vt:lpwstr>
      </vt:variant>
      <vt:variant>
        <vt:i4>6094854</vt:i4>
      </vt:variant>
      <vt:variant>
        <vt:i4>6</vt:i4>
      </vt:variant>
      <vt:variant>
        <vt:i4>0</vt:i4>
      </vt:variant>
      <vt:variant>
        <vt:i4>5</vt:i4>
      </vt:variant>
      <vt:variant>
        <vt:lpwstr/>
      </vt:variant>
      <vt:variant>
        <vt:lpwstr>R2top</vt:lpwstr>
      </vt:variant>
      <vt:variant>
        <vt:i4>3211378</vt:i4>
      </vt:variant>
      <vt:variant>
        <vt:i4>3</vt:i4>
      </vt:variant>
      <vt:variant>
        <vt:i4>0</vt:i4>
      </vt:variant>
      <vt:variant>
        <vt:i4>5</vt:i4>
      </vt:variant>
      <vt:variant>
        <vt:lpwstr/>
      </vt:variant>
      <vt:variant>
        <vt:lpwstr>R1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DNB Research Newsletter December 2023</dc:title>
  <dc:subject/>
  <dc:creator>Kok-Stuijfzand, J.H.M. (Jolanda) (EBO_OND)</dc:creator>
  <cp:keywords/>
  <cp:lastModifiedBy>Kok-Stuijfzand, J.H.M. (Jolanda) (EBO_DSH)</cp:lastModifiedBy>
  <cp:revision>12</cp:revision>
  <cp:lastPrinted>2023-10-05T20:35:00Z</cp:lastPrinted>
  <dcterms:created xsi:type="dcterms:W3CDTF">2025-04-28T14:10:00Z</dcterms:created>
  <dcterms:modified xsi:type="dcterms:W3CDTF">2025-04-29T08:54:00Z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0x0101001A9AF98CE4D646E7BAD5E0A615FBC45700531684C5AA7845B1B8AD3BF3F8A4C4F8002B0E3288914FB24BAE7B302499C5810D</vt:lpwstr>
  </property>
  <property fmtid="{D5CDD505-2E9C-101B-9397-08002B2CF9AE}" pid="3" name="DNB_Status">
    <vt:lpwstr>4;#Lopend|9178452f-7c5d-4617-8a9d-cb6cbffbcbfc</vt:lpwstr>
  </property>
  <property fmtid="{D5CDD505-2E9C-101B-9397-08002B2CF9AE}" pid="4" name="_dlc_DocIdItemGuid">
    <vt:lpwstr>202d027f-21cc-4412-9def-88c4e8552abd</vt:lpwstr>
  </property>
  <property fmtid="{D5CDD505-2E9C-101B-9397-08002B2CF9AE}" pid="5" name="DNB_Taaklabel">
    <vt:lpwstr>88;#DNB research newsletters|fff0be3f-7c5e-4609-af5c-f06d50cfa7c1</vt:lpwstr>
  </property>
  <property fmtid="{D5CDD505-2E9C-101B-9397-08002B2CF9AE}" pid="6" name="DNB_Organisatie">
    <vt:lpwstr/>
  </property>
  <property fmtid="{D5CDD505-2E9C-101B-9397-08002B2CF9AE}" pid="7" name="DNB_Divisie">
    <vt:lpwstr>3;#Economisch Beleid ＆ Onderzoek|0ec73827-a545-47a2-8bd2-5627e8ce3897</vt:lpwstr>
  </property>
  <property fmtid="{D5CDD505-2E9C-101B-9397-08002B2CF9AE}" pid="8" name="DNB_Afdeling">
    <vt:lpwstr/>
  </property>
</Properties>
</file>