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9925" w14:textId="71B72C65" w:rsidR="0A6F1023" w:rsidRPr="008B2C38" w:rsidRDefault="00F85B35" w:rsidP="007333FF">
      <w:pPr>
        <w:spacing w:line="240" w:lineRule="auto"/>
        <w:rPr>
          <w:rFonts w:cstheme="minorHAnsi"/>
          <w:lang w:val="en-US"/>
        </w:rPr>
      </w:pPr>
      <w:r w:rsidRPr="008B2C38">
        <w:rPr>
          <w:rFonts w:cstheme="minorHAnsi"/>
          <w:b/>
          <w:bCs/>
          <w:lang w:val="en-US"/>
        </w:rPr>
        <w:t>FAQ</w:t>
      </w:r>
      <w:r w:rsidR="0A6F1023" w:rsidRPr="008B2C38">
        <w:rPr>
          <w:rFonts w:cstheme="minorHAnsi"/>
          <w:b/>
          <w:bCs/>
          <w:lang w:val="en-US"/>
        </w:rPr>
        <w:t xml:space="preserve"> </w:t>
      </w:r>
      <w:r w:rsidR="004C5579">
        <w:rPr>
          <w:rFonts w:cstheme="minorHAnsi"/>
          <w:b/>
          <w:bCs/>
          <w:lang w:val="en-US"/>
        </w:rPr>
        <w:t>2</w:t>
      </w:r>
      <w:r w:rsidRPr="008B2C38">
        <w:rPr>
          <w:rFonts w:cstheme="minorHAnsi"/>
          <w:b/>
          <w:bCs/>
          <w:lang w:val="en-US"/>
        </w:rPr>
        <w:t xml:space="preserve"> </w:t>
      </w:r>
      <w:r w:rsidR="0A6F1023" w:rsidRPr="008B2C38">
        <w:rPr>
          <w:rFonts w:cstheme="minorHAnsi"/>
          <w:b/>
          <w:bCs/>
          <w:lang w:val="en-US"/>
        </w:rPr>
        <w:t>DNB Impact assessment YE202</w:t>
      </w:r>
      <w:r w:rsidR="008D08C2">
        <w:rPr>
          <w:rFonts w:cstheme="minorHAnsi"/>
          <w:b/>
          <w:bCs/>
          <w:lang w:val="en-US"/>
        </w:rPr>
        <w:t>5</w:t>
      </w:r>
    </w:p>
    <w:tbl>
      <w:tblPr>
        <w:tblStyle w:val="ListTable1Light-Accent1"/>
        <w:tblW w:w="7655" w:type="dxa"/>
        <w:tblLayout w:type="fixed"/>
        <w:tblLook w:val="04A0" w:firstRow="1" w:lastRow="0" w:firstColumn="1" w:lastColumn="0" w:noHBand="0" w:noVBand="1"/>
      </w:tblPr>
      <w:tblGrid>
        <w:gridCol w:w="448"/>
        <w:gridCol w:w="3435"/>
        <w:gridCol w:w="3772"/>
      </w:tblGrid>
      <w:tr w:rsidR="00333B07" w:rsidRPr="008B2C38" w14:paraId="0F558B85" w14:textId="72C20A10" w:rsidTr="786A983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48" w:type="dxa"/>
            <w:noWrap/>
            <w:hideMark/>
          </w:tcPr>
          <w:p w14:paraId="208B3554" w14:textId="0E47E8B2" w:rsidR="00333B07" w:rsidRPr="008B2C38" w:rsidRDefault="00333B07" w:rsidP="007333FF">
            <w:pPr>
              <w:rPr>
                <w:rFonts w:cstheme="minorHAnsi"/>
              </w:rPr>
            </w:pPr>
            <w:r w:rsidRPr="008B2C38">
              <w:rPr>
                <w:rFonts w:cstheme="minorHAnsi"/>
              </w:rPr>
              <w:t>#</w:t>
            </w:r>
          </w:p>
        </w:tc>
        <w:tc>
          <w:tcPr>
            <w:tcW w:w="3435" w:type="dxa"/>
            <w:hideMark/>
          </w:tcPr>
          <w:p w14:paraId="17899D5A" w14:textId="07DA54EC" w:rsidR="00333B07" w:rsidRPr="008B2C38" w:rsidRDefault="00333B07" w:rsidP="007333FF">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B2C38">
              <w:rPr>
                <w:rFonts w:cstheme="minorHAnsi"/>
              </w:rPr>
              <w:t>Question</w:t>
            </w:r>
          </w:p>
        </w:tc>
        <w:tc>
          <w:tcPr>
            <w:tcW w:w="3772" w:type="dxa"/>
            <w:hideMark/>
          </w:tcPr>
          <w:p w14:paraId="15664443" w14:textId="756FDCEF" w:rsidR="00333B07" w:rsidRPr="008B2C38" w:rsidRDefault="00333B07" w:rsidP="007333FF">
            <w:pPr>
              <w:cnfStyle w:val="100000000000" w:firstRow="1" w:lastRow="0" w:firstColumn="0" w:lastColumn="0" w:oddVBand="0" w:evenVBand="0" w:oddHBand="0" w:evenHBand="0" w:firstRowFirstColumn="0" w:firstRowLastColumn="0" w:lastRowFirstColumn="0" w:lastRowLastColumn="0"/>
              <w:rPr>
                <w:rFonts w:cstheme="minorHAnsi"/>
                <w:b w:val="0"/>
                <w:bCs w:val="0"/>
              </w:rPr>
            </w:pPr>
            <w:proofErr w:type="spellStart"/>
            <w:r w:rsidRPr="008B2C38">
              <w:rPr>
                <w:rFonts w:cstheme="minorHAnsi"/>
              </w:rPr>
              <w:t>Answer</w:t>
            </w:r>
            <w:proofErr w:type="spellEnd"/>
            <w:r w:rsidRPr="008B2C38">
              <w:rPr>
                <w:rFonts w:cstheme="minorHAnsi"/>
              </w:rPr>
              <w:t xml:space="preserve"> DNB</w:t>
            </w:r>
          </w:p>
        </w:tc>
      </w:tr>
      <w:tr w:rsidR="00333B07" w:rsidRPr="00F91F52" w14:paraId="2201E0E5" w14:textId="42DBACD4" w:rsidTr="786A9836">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48" w:type="dxa"/>
            <w:noWrap/>
          </w:tcPr>
          <w:p w14:paraId="5FD6243D" w14:textId="38E14CCF" w:rsidR="00333B07" w:rsidRPr="00435127" w:rsidRDefault="00333B07" w:rsidP="007333FF">
            <w:pPr>
              <w:jc w:val="both"/>
              <w:rPr>
                <w:rFonts w:eastAsia="Calibri" w:cstheme="minorHAnsi"/>
                <w:lang w:val="en-GB"/>
              </w:rPr>
            </w:pPr>
            <w:r w:rsidRPr="00435127">
              <w:rPr>
                <w:rFonts w:eastAsia="Calibri" w:cstheme="minorHAnsi"/>
                <w:lang w:val="en-GB"/>
              </w:rPr>
              <w:t>1</w:t>
            </w:r>
          </w:p>
        </w:tc>
        <w:tc>
          <w:tcPr>
            <w:tcW w:w="3435" w:type="dxa"/>
          </w:tcPr>
          <w:p w14:paraId="10CFEF75" w14:textId="77777777" w:rsidR="00834134" w:rsidRDefault="00834134"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91F52">
              <w:rPr>
                <w:rFonts w:eastAsia="Calibri" w:cstheme="minorHAnsi"/>
                <w:lang w:val="en-US"/>
              </w:rPr>
              <w:t xml:space="preserve">We noticed that the base NOVA curve has been adjusted, but we have not received any communication about this. The formulas for SF shocked WITH_VA curves have been modified compared to excel files published for previous impact analysis exercises (including the original 2020 impact analysis conducted by EIOPA). Although there were slight variations in past versions, the general approach was that DNB added the VA to the curve up until the FSP and then extrapolated it using the Vasicek method. </w:t>
            </w:r>
          </w:p>
          <w:p w14:paraId="74454DB9" w14:textId="77777777" w:rsidR="00834134" w:rsidRDefault="00834134"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14:paraId="3D327860" w14:textId="77777777" w:rsidR="00834134" w:rsidRDefault="00834134"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91F52">
              <w:rPr>
                <w:rFonts w:eastAsia="Calibri" w:cstheme="minorHAnsi"/>
                <w:lang w:val="en-US"/>
              </w:rPr>
              <w:t xml:space="preserve">In contrast, with the adjusted curve, we observed that DNB now applies the following formula for each tenor (i.e. without performing the Vasicek extrapolation for SF shocked WITH_VA curves): SF_WITHVA = (1 + BASE_WITHVA) * (1 + SF_NOVA) / (1 + BASE_NOVA) – 1 (the formula is for calculating the annually compounded rates) </w:t>
            </w:r>
          </w:p>
          <w:p w14:paraId="6CE7A10B" w14:textId="77777777" w:rsidR="00834134" w:rsidRDefault="00834134"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14:paraId="1DB57A6E" w14:textId="77777777" w:rsidR="00834134" w:rsidRDefault="00834134"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91F52">
              <w:rPr>
                <w:rFonts w:eastAsia="Calibri" w:cstheme="minorHAnsi"/>
                <w:lang w:val="en-US"/>
              </w:rPr>
              <w:t xml:space="preserve">Differences compared to previous methodology can be significant above FSP. </w:t>
            </w:r>
          </w:p>
          <w:p w14:paraId="00DCA4A7" w14:textId="77777777" w:rsidR="00834134" w:rsidRDefault="00834134"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14:paraId="35391778" w14:textId="4B7CB890" w:rsidR="00333B07" w:rsidRPr="00A445C9" w:rsidRDefault="00834134"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sidRPr="00F91F52">
              <w:rPr>
                <w:rFonts w:eastAsia="Calibri" w:cstheme="minorHAnsi"/>
                <w:lang w:val="en-US"/>
              </w:rPr>
              <w:t>Since current regulation is relatively vague on the calculation of the SF shocked WITH_VA curves, we would like to understand the rationale behind this change in methodology. Could you share more insight into this adjustment, or is this perhaps a simplification?</w:t>
            </w:r>
          </w:p>
        </w:tc>
        <w:tc>
          <w:tcPr>
            <w:tcW w:w="3772" w:type="dxa"/>
          </w:tcPr>
          <w:p w14:paraId="65F46140" w14:textId="77777777" w:rsidR="00834134" w:rsidRPr="00F91F52" w:rsidRDefault="00834134" w:rsidP="00834134">
            <w:pPr>
              <w:pStyle w:val="vvvstandaard"/>
              <w:tabs>
                <w:tab w:val="center" w:pos="567"/>
                <w:tab w:val="left" w:pos="1701"/>
                <w:tab w:val="left" w:pos="2835"/>
                <w:tab w:val="left" w:pos="3969"/>
                <w:tab w:val="left" w:pos="5103"/>
                <w:tab w:val="left" w:pos="6237"/>
                <w:tab w:val="left" w:pos="7371"/>
              </w:tabs>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eastAsia="en-US"/>
              </w:rPr>
            </w:pPr>
            <w:r w:rsidRPr="00F91F52">
              <w:rPr>
                <w:rFonts w:asciiTheme="minorHAnsi" w:eastAsia="Calibri" w:hAnsiTheme="minorHAnsi" w:cstheme="minorHAnsi"/>
                <w:sz w:val="22"/>
                <w:szCs w:val="22"/>
                <w:lang w:val="en-GB" w:eastAsia="en-US"/>
              </w:rPr>
              <w:t>The used approach, which uses (i) the SF interest rate shock to the curve without VA and (ii) the base curve with VA, should result in the same results as adding the VA to the curve until the FSP and then extrapolating it using the new extrapolation method. Minor differences may arise due to our implementation, but we do not expect any significant differences. We have compared (for EUR) the stressed VA curves with internal EIOPA results and find maximum deviations of 0.3 bps.</w:t>
            </w:r>
          </w:p>
          <w:p w14:paraId="255708E9" w14:textId="77777777" w:rsidR="00834134" w:rsidRPr="00F91F52" w:rsidRDefault="00834134" w:rsidP="00834134">
            <w:pPr>
              <w:pStyle w:val="vvvstandaard"/>
              <w:tabs>
                <w:tab w:val="center" w:pos="567"/>
                <w:tab w:val="left" w:pos="1701"/>
                <w:tab w:val="left" w:pos="2835"/>
                <w:tab w:val="left" w:pos="3969"/>
                <w:tab w:val="left" w:pos="5103"/>
                <w:tab w:val="left" w:pos="6237"/>
                <w:tab w:val="left" w:pos="7371"/>
              </w:tabs>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eastAsia="en-US"/>
              </w:rPr>
            </w:pPr>
            <w:r w:rsidRPr="00F91F52">
              <w:rPr>
                <w:rFonts w:asciiTheme="minorHAnsi" w:eastAsia="Calibri" w:hAnsiTheme="minorHAnsi" w:cstheme="minorHAnsi"/>
                <w:sz w:val="22"/>
                <w:szCs w:val="22"/>
                <w:lang w:val="en-GB" w:eastAsia="en-US"/>
              </w:rPr>
              <w:t> </w:t>
            </w:r>
          </w:p>
          <w:p w14:paraId="16FD9C9A" w14:textId="77777777" w:rsidR="00834134" w:rsidRPr="00F91F52" w:rsidRDefault="00834134" w:rsidP="00834134">
            <w:pPr>
              <w:pStyle w:val="vvvstandaard"/>
              <w:tabs>
                <w:tab w:val="center" w:pos="567"/>
                <w:tab w:val="left" w:pos="1701"/>
                <w:tab w:val="left" w:pos="2835"/>
                <w:tab w:val="left" w:pos="3969"/>
                <w:tab w:val="left" w:pos="5103"/>
                <w:tab w:val="left" w:pos="6237"/>
                <w:tab w:val="left" w:pos="7371"/>
              </w:tabs>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val="en-GB" w:eastAsia="en-US"/>
              </w:rPr>
            </w:pPr>
            <w:r w:rsidRPr="00F91F52">
              <w:rPr>
                <w:rFonts w:asciiTheme="minorHAnsi" w:eastAsia="Calibri" w:hAnsiTheme="minorHAnsi" w:cstheme="minorHAnsi"/>
                <w:sz w:val="22"/>
                <w:szCs w:val="22"/>
                <w:lang w:val="en-GB" w:eastAsia="en-US"/>
              </w:rPr>
              <w:t>The methodology to derive the SF interest rate curves has changed since the original impact assessment conducted by EIOPA (the ‘down’ and ‘up’ parameters), which might explain the results you observe. Please let us know if this is not the case.</w:t>
            </w:r>
          </w:p>
          <w:p w14:paraId="6A46323B" w14:textId="078E580E" w:rsidR="00333B07" w:rsidRPr="00A445C9" w:rsidRDefault="00333B07" w:rsidP="007333F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p>
        </w:tc>
      </w:tr>
      <w:tr w:rsidR="00333B07" w:rsidRPr="00F91F52" w14:paraId="7061F576" w14:textId="6B472615" w:rsidTr="786A9836">
        <w:trPr>
          <w:trHeight w:val="300"/>
        </w:trPr>
        <w:tc>
          <w:tcPr>
            <w:cnfStyle w:val="001000000000" w:firstRow="0" w:lastRow="0" w:firstColumn="1" w:lastColumn="0" w:oddVBand="0" w:evenVBand="0" w:oddHBand="0" w:evenHBand="0" w:firstRowFirstColumn="0" w:firstRowLastColumn="0" w:lastRowFirstColumn="0" w:lastRowLastColumn="0"/>
            <w:tcW w:w="448" w:type="dxa"/>
            <w:noWrap/>
          </w:tcPr>
          <w:p w14:paraId="33453105" w14:textId="5EBBBEEC" w:rsidR="00333B07" w:rsidRPr="00435127" w:rsidRDefault="4B6DF610" w:rsidP="007333FF">
            <w:pPr>
              <w:jc w:val="both"/>
              <w:rPr>
                <w:rFonts w:eastAsia="Calibri" w:cstheme="minorHAnsi"/>
                <w:lang w:val="en-GB"/>
              </w:rPr>
            </w:pPr>
            <w:r w:rsidRPr="00435127">
              <w:rPr>
                <w:rFonts w:eastAsia="Calibri" w:cstheme="minorHAnsi"/>
                <w:lang w:val="en-GB"/>
              </w:rPr>
              <w:t>2</w:t>
            </w:r>
          </w:p>
        </w:tc>
        <w:tc>
          <w:tcPr>
            <w:tcW w:w="3435" w:type="dxa"/>
          </w:tcPr>
          <w:p w14:paraId="6A0226DF"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For insurers who are using an internal model, DNB asks the following in the tab for IM users</w:t>
            </w:r>
          </w:p>
          <w:p w14:paraId="6F9A3AB6"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 </w:t>
            </w:r>
          </w:p>
          <w:p w14:paraId="0ACB4212" w14:textId="77777777" w:rsidR="00834134" w:rsidRPr="00F91F52" w:rsidRDefault="00834134" w:rsidP="00834134">
            <w:pPr>
              <w:numPr>
                <w:ilvl w:val="0"/>
                <w:numId w:val="8"/>
              </w:num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lastRenderedPageBreak/>
              <w:t>Solvency information on the new regime with the current DVA, no caps</w:t>
            </w:r>
          </w:p>
          <w:p w14:paraId="32B25A06" w14:textId="77777777" w:rsidR="00834134" w:rsidRPr="00F91F52" w:rsidRDefault="00834134" w:rsidP="00834134">
            <w:pPr>
              <w:numPr>
                <w:ilvl w:val="0"/>
                <w:numId w:val="8"/>
              </w:num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Solvency information on the new regime with the current DVA, first notional SCR (EPP)</w:t>
            </w:r>
          </w:p>
          <w:p w14:paraId="7F345578" w14:textId="77777777" w:rsidR="00834134" w:rsidRPr="00F91F52" w:rsidRDefault="00834134" w:rsidP="00834134">
            <w:pPr>
              <w:numPr>
                <w:ilvl w:val="0"/>
                <w:numId w:val="8"/>
              </w:num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Solvency information on the new regime with the current DVA, second notional (EPP)</w:t>
            </w:r>
          </w:p>
          <w:p w14:paraId="15BFCCC4" w14:textId="77777777" w:rsidR="00834134" w:rsidRPr="00F91F52" w:rsidRDefault="00834134" w:rsidP="00834134">
            <w:pPr>
              <w:numPr>
                <w:ilvl w:val="0"/>
                <w:numId w:val="8"/>
              </w:num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Solvency information on the new regime with the changed DVA, anticipating on the review 2020</w:t>
            </w:r>
          </w:p>
          <w:p w14:paraId="7A1F2B87"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 </w:t>
            </w:r>
          </w:p>
          <w:p w14:paraId="600B4A15" w14:textId="2CE0CBFD"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In the tab Solvency position, DNB also asks the SCR. Which SCR should the insurer use?</w:t>
            </w:r>
          </w:p>
          <w:p w14:paraId="2C25EC7C"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 </w:t>
            </w:r>
          </w:p>
          <w:p w14:paraId="45EE1741" w14:textId="5003D1B0"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In the calculation of 2 and 3, the CSSR is an important feature when determining the notional SCR. However, in the current DVA model, the CSSR is not included. Which CSSR should be taken?</w:t>
            </w:r>
          </w:p>
          <w:p w14:paraId="7F936ECE"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p>
          <w:p w14:paraId="24F4CABD" w14:textId="5E709C46" w:rsidR="00333B07" w:rsidRPr="00F91F52" w:rsidRDefault="00834134" w:rsidP="007333FF">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F91F52">
              <w:rPr>
                <w:rFonts w:eastAsia="Calibri" w:cstheme="minorHAnsi"/>
                <w:lang w:val="en-US"/>
              </w:rPr>
              <w:t xml:space="preserve">In the current DVA, no change in the GAR nor an introduction of the CSSR is seen and no change in the risk correction. </w:t>
            </w:r>
            <w:r w:rsidRPr="00834134">
              <w:rPr>
                <w:rFonts w:eastAsia="Calibri" w:cstheme="minorHAnsi"/>
              </w:rPr>
              <w:t xml:space="preserve">This is actually what DNB wants </w:t>
            </w:r>
            <w:proofErr w:type="spellStart"/>
            <w:r w:rsidRPr="00834134">
              <w:rPr>
                <w:rFonts w:eastAsia="Calibri" w:cstheme="minorHAnsi"/>
              </w:rPr>
              <w:t>to</w:t>
            </w:r>
            <w:proofErr w:type="spellEnd"/>
            <w:r w:rsidRPr="00834134">
              <w:rPr>
                <w:rFonts w:eastAsia="Calibri" w:cstheme="minorHAnsi"/>
              </w:rPr>
              <w:t xml:space="preserve"> </w:t>
            </w:r>
            <w:proofErr w:type="spellStart"/>
            <w:r w:rsidRPr="00834134">
              <w:rPr>
                <w:rFonts w:eastAsia="Calibri" w:cstheme="minorHAnsi"/>
              </w:rPr>
              <w:t>see</w:t>
            </w:r>
            <w:proofErr w:type="spellEnd"/>
            <w:r w:rsidRPr="00834134">
              <w:rPr>
                <w:rFonts w:eastAsia="Calibri" w:cstheme="minorHAnsi"/>
              </w:rPr>
              <w:t xml:space="preserve"> </w:t>
            </w:r>
            <w:proofErr w:type="spellStart"/>
            <w:r w:rsidRPr="00834134">
              <w:rPr>
                <w:rFonts w:eastAsia="Calibri" w:cstheme="minorHAnsi"/>
              </w:rPr>
              <w:t>under</w:t>
            </w:r>
            <w:proofErr w:type="spellEnd"/>
            <w:r w:rsidRPr="00834134">
              <w:rPr>
                <w:rFonts w:eastAsia="Calibri" w:cstheme="minorHAnsi"/>
              </w:rPr>
              <w:t xml:space="preserve"> 1?</w:t>
            </w:r>
          </w:p>
        </w:tc>
        <w:tc>
          <w:tcPr>
            <w:tcW w:w="3772" w:type="dxa"/>
          </w:tcPr>
          <w:p w14:paraId="7513C013"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lastRenderedPageBreak/>
              <w:t xml:space="preserve">The EPP applied to bullets 2, 3 and 4 should indeed be applied for the SCR in the Solvency Position tab (the maximum of the three SCRs), but only when the option on bullet 4 is reported. If this </w:t>
            </w:r>
            <w:r w:rsidRPr="00F91F52">
              <w:rPr>
                <w:rFonts w:eastAsia="Calibri" w:cstheme="minorHAnsi"/>
                <w:lang w:val="en-US"/>
              </w:rPr>
              <w:lastRenderedPageBreak/>
              <w:t>option is not reported, the EPP should be applied to options under bullets 1, 2 and 3. To simplify this impact assessment, you may just report the results of the option under bullet 4 although this would actually require an MMC and DNB approval. </w:t>
            </w:r>
          </w:p>
          <w:p w14:paraId="4CFA25E7"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p>
          <w:p w14:paraId="11BC7CEF"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In the calculations under options 2 and 3, the two EPP lower bounds are determined. For this purpose, the CSSR must in principle be modelled dynamically. If dynamic modelling is not feasible, a prudent and appropriate static CSSR should be selected and substantiated. Your question regarding the relation of the CSSR with the option under bullet 4 is unclear to us:</w:t>
            </w:r>
            <w:r w:rsidRPr="00F91F52">
              <w:rPr>
                <w:rFonts w:eastAsia="Calibri" w:cstheme="minorHAnsi"/>
                <w:b/>
                <w:lang w:val="en-US"/>
              </w:rPr>
              <w:t> </w:t>
            </w:r>
            <w:r w:rsidRPr="00F91F52">
              <w:rPr>
                <w:rFonts w:eastAsia="Calibri" w:cstheme="minorHAnsi"/>
                <w:lang w:val="en-US"/>
              </w:rPr>
              <w:t>Option 4 is the redesigned internal DVA model, and Achmea's CSSR in the current redesigned DVA model is not equal to the CSSR used to calculate the floors under 2 and 3.</w:t>
            </w:r>
          </w:p>
          <w:p w14:paraId="74AEF832"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p>
          <w:p w14:paraId="0711A330" w14:textId="77777777" w:rsidR="00834134" w:rsidRPr="00F91F52" w:rsidRDefault="00834134" w:rsidP="00834134">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US"/>
              </w:rPr>
            </w:pPr>
            <w:r w:rsidRPr="00F91F52">
              <w:rPr>
                <w:rFonts w:eastAsia="Calibri" w:cstheme="minorHAnsi"/>
                <w:lang w:val="en-US"/>
              </w:rPr>
              <w:t>For option 1, participants should report the figures of the expected new regime, except that the SCR should be based on the current DVA model. That is, without incorporating the changes applied in the other options (e.g. the CSSR and the GAR). </w:t>
            </w:r>
          </w:p>
          <w:p w14:paraId="55C9655F" w14:textId="2128073E" w:rsidR="00333B07" w:rsidRPr="00A445C9" w:rsidRDefault="00333B07" w:rsidP="007333FF">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r w:rsidR="00BD67FF" w:rsidRPr="00BD67FF" w14:paraId="24AEF7A9" w14:textId="77777777" w:rsidTr="786A98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8" w:type="dxa"/>
            <w:noWrap/>
          </w:tcPr>
          <w:p w14:paraId="4193AB20" w14:textId="7D4F41CF" w:rsidR="00BD67FF" w:rsidRPr="00435127" w:rsidRDefault="000D3FD3" w:rsidP="007333FF">
            <w:pPr>
              <w:jc w:val="both"/>
              <w:rPr>
                <w:rFonts w:eastAsia="Calibri" w:cstheme="minorHAnsi"/>
                <w:lang w:val="en-GB"/>
              </w:rPr>
            </w:pPr>
            <w:r>
              <w:rPr>
                <w:rFonts w:eastAsia="Calibri" w:cstheme="minorHAnsi"/>
                <w:lang w:val="en-GB"/>
              </w:rPr>
              <w:lastRenderedPageBreak/>
              <w:t>3</w:t>
            </w:r>
          </w:p>
        </w:tc>
        <w:tc>
          <w:tcPr>
            <w:tcW w:w="3435" w:type="dxa"/>
          </w:tcPr>
          <w:p w14:paraId="3BA303EA" w14:textId="265607D7" w:rsidR="00901D76" w:rsidRPr="00901D76" w:rsidRDefault="00901D76" w:rsidP="00901D76">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r w:rsidRPr="00901D76">
              <w:rPr>
                <w:rFonts w:eastAsia="Calibri" w:cstheme="minorHAnsi"/>
                <w:lang w:val="en-NL"/>
              </w:rPr>
              <w:t xml:space="preserve">How is the </w:t>
            </w:r>
            <w:r w:rsidR="005C0BC8">
              <w:rPr>
                <w:rFonts w:eastAsia="Calibri" w:cstheme="minorHAnsi"/>
                <w:lang w:val="en-NL"/>
              </w:rPr>
              <w:t>LL</w:t>
            </w:r>
            <w:r w:rsidR="00CB610C">
              <w:rPr>
                <w:rFonts w:eastAsia="Calibri" w:cstheme="minorHAnsi"/>
                <w:lang w:val="en-NL"/>
              </w:rPr>
              <w:t>FR</w:t>
            </w:r>
            <w:r w:rsidRPr="00901D76">
              <w:rPr>
                <w:rFonts w:eastAsia="Calibri" w:cstheme="minorHAnsi"/>
                <w:lang w:val="en-NL"/>
              </w:rPr>
              <w:t xml:space="preserve"> </w:t>
            </w:r>
            <w:r w:rsidR="006B5B21">
              <w:rPr>
                <w:rFonts w:eastAsia="Calibri" w:cstheme="minorHAnsi"/>
                <w:lang w:val="en-NL"/>
              </w:rPr>
              <w:t>calculated</w:t>
            </w:r>
            <w:r w:rsidRPr="00901D76">
              <w:rPr>
                <w:rFonts w:eastAsia="Calibri" w:cstheme="minorHAnsi"/>
                <w:lang w:val="en-NL"/>
              </w:rPr>
              <w:t xml:space="preserve"> on the ‘</w:t>
            </w:r>
            <w:r w:rsidR="00CB610C">
              <w:rPr>
                <w:rFonts w:eastAsia="Calibri" w:cstheme="minorHAnsi"/>
                <w:lang w:val="en-NL"/>
              </w:rPr>
              <w:t>Curves with VA</w:t>
            </w:r>
            <w:r w:rsidRPr="00901D76">
              <w:rPr>
                <w:rFonts w:eastAsia="Calibri" w:cstheme="minorHAnsi"/>
                <w:lang w:val="en-NL"/>
              </w:rPr>
              <w:t xml:space="preserve">’ tab, specifically in cell </w:t>
            </w:r>
            <w:r w:rsidR="00CB610C">
              <w:rPr>
                <w:rFonts w:eastAsia="Calibri" w:cstheme="minorHAnsi"/>
                <w:lang w:val="en-NL"/>
              </w:rPr>
              <w:t>H6</w:t>
            </w:r>
            <w:r w:rsidRPr="00901D76">
              <w:rPr>
                <w:rFonts w:eastAsia="Calibri" w:cstheme="minorHAnsi"/>
                <w:lang w:val="en-NL"/>
              </w:rPr>
              <w:t xml:space="preserve"> of the Technical Information Excel file?</w:t>
            </w:r>
          </w:p>
          <w:p w14:paraId="5918BB5C" w14:textId="134AE795" w:rsidR="00BD67FF" w:rsidRPr="00F91F52" w:rsidRDefault="00BD67FF" w:rsidP="00834134">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tc>
        <w:tc>
          <w:tcPr>
            <w:tcW w:w="3772" w:type="dxa"/>
          </w:tcPr>
          <w:p w14:paraId="2B214393" w14:textId="373A024F" w:rsidR="00595431" w:rsidRPr="00F91F52" w:rsidRDefault="000A5BB4" w:rsidP="00F91F52">
            <w:pPr>
              <w:cnfStyle w:val="000000100000" w:firstRow="0" w:lastRow="0" w:firstColumn="0" w:lastColumn="0" w:oddVBand="0" w:evenVBand="0" w:oddHBand="1" w:evenHBand="0" w:firstRowFirstColumn="0" w:firstRowLastColumn="0" w:lastRowFirstColumn="0" w:lastRowLastColumn="0"/>
              <w:rPr>
                <w:lang w:val="en-US"/>
              </w:rPr>
            </w:pPr>
            <w:r w:rsidRPr="00F91F52">
              <w:rPr>
                <w:rFonts w:ascii="Calibri" w:hAnsi="Calibri" w:cs="Calibri"/>
                <w:color w:val="000000"/>
                <w:lang w:val="en-US"/>
              </w:rPr>
              <w:t>To determine</w:t>
            </w:r>
            <w:r w:rsidR="00595431" w:rsidRPr="00F91F52">
              <w:rPr>
                <w:rFonts w:ascii="Calibri" w:hAnsi="Calibri" w:cs="Calibri"/>
                <w:color w:val="000000"/>
                <w:lang w:val="en-US"/>
              </w:rPr>
              <w:t xml:space="preserve"> the LLFR, we </w:t>
            </w:r>
            <w:r w:rsidRPr="00F91F52">
              <w:rPr>
                <w:rFonts w:ascii="Calibri" w:hAnsi="Calibri" w:cs="Calibri"/>
                <w:color w:val="000000"/>
                <w:lang w:val="en-US"/>
              </w:rPr>
              <w:t>apply the selected</w:t>
            </w:r>
            <w:r w:rsidR="00595431" w:rsidRPr="00F91F52">
              <w:rPr>
                <w:rFonts w:ascii="Calibri" w:hAnsi="Calibri" w:cs="Calibri"/>
                <w:color w:val="000000"/>
                <w:lang w:val="en-US"/>
              </w:rPr>
              <w:t xml:space="preserve"> weights and swap rates from Refinitiv (</w:t>
            </w:r>
            <w:r w:rsidRPr="00F91F52">
              <w:rPr>
                <w:rFonts w:ascii="Calibri" w:hAnsi="Calibri" w:cs="Calibri"/>
                <w:color w:val="000000"/>
                <w:lang w:val="en-US"/>
              </w:rPr>
              <w:t>rounded</w:t>
            </w:r>
            <w:r w:rsidR="00595431" w:rsidRPr="00F91F52">
              <w:rPr>
                <w:rFonts w:ascii="Calibri" w:hAnsi="Calibri" w:cs="Calibri"/>
                <w:color w:val="000000"/>
                <w:lang w:val="en-US"/>
              </w:rPr>
              <w:t xml:space="preserve"> to four </w:t>
            </w:r>
            <w:r w:rsidRPr="00F91F52">
              <w:rPr>
                <w:rFonts w:ascii="Calibri" w:hAnsi="Calibri" w:cs="Calibri"/>
                <w:color w:val="000000"/>
                <w:lang w:val="en-US"/>
              </w:rPr>
              <w:t>decimals</w:t>
            </w:r>
            <w:r w:rsidR="00595431" w:rsidRPr="00F91F52">
              <w:rPr>
                <w:rFonts w:ascii="Calibri" w:hAnsi="Calibri" w:cs="Calibri"/>
                <w:color w:val="000000"/>
                <w:lang w:val="en-US"/>
              </w:rPr>
              <w:t>).</w:t>
            </w:r>
          </w:p>
          <w:p w14:paraId="6BF3E876" w14:textId="77777777" w:rsidR="00595431" w:rsidRPr="00595431" w:rsidRDefault="00595431" w:rsidP="00595431">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p>
          <w:p w14:paraId="362A1BB2" w14:textId="77777777" w:rsidR="00595431" w:rsidRDefault="00595431" w:rsidP="00595431">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r w:rsidRPr="00595431">
              <w:rPr>
                <w:rFonts w:eastAsia="Calibri" w:cstheme="minorHAnsi"/>
                <w:lang w:val="en-NL"/>
              </w:rPr>
              <w:t>Looking at the (continuously compounded) forwards that follow from this, the result is as follows.</w:t>
            </w:r>
          </w:p>
          <w:p w14:paraId="07B5B04B" w14:textId="77777777" w:rsidR="00B1463F" w:rsidRPr="00F91F52" w:rsidRDefault="00B1463F" w:rsidP="00684938">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p>
          <w:tbl>
            <w:tblPr>
              <w:tblW w:w="0" w:type="auto"/>
              <w:shd w:val="clear" w:color="auto" w:fill="FFFFFF"/>
              <w:tblCellMar>
                <w:left w:w="0" w:type="dxa"/>
                <w:right w:w="0" w:type="dxa"/>
              </w:tblCellMar>
              <w:tblLook w:val="04A0" w:firstRow="1" w:lastRow="0" w:firstColumn="1" w:lastColumn="0" w:noHBand="0" w:noVBand="1"/>
            </w:tblPr>
            <w:tblGrid>
              <w:gridCol w:w="1800"/>
              <w:gridCol w:w="1800"/>
            </w:tblGrid>
            <w:tr w:rsidR="00B1463F" w:rsidRPr="005B2F74" w14:paraId="64C1854D" w14:textId="77777777" w:rsidTr="00271C63">
              <w:trPr>
                <w:trHeight w:val="330"/>
              </w:trPr>
              <w:tc>
                <w:tcPr>
                  <w:tcW w:w="1800" w:type="dxa"/>
                  <w:tcBorders>
                    <w:top w:val="single" w:sz="8" w:space="0" w:color="ABABAB"/>
                    <w:left w:val="single" w:sz="8" w:space="0" w:color="ABABAB"/>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098EF5FF"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f(15,20)</w:t>
                  </w:r>
                </w:p>
              </w:tc>
              <w:tc>
                <w:tcPr>
                  <w:tcW w:w="1800" w:type="dxa"/>
                  <w:tcBorders>
                    <w:top w:val="single" w:sz="8" w:space="0" w:color="ABABAB"/>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4C7FFAB3"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3.4544%</w:t>
                  </w:r>
                </w:p>
              </w:tc>
            </w:tr>
            <w:tr w:rsidR="00B1463F" w:rsidRPr="005B2F74" w14:paraId="13EB25B8" w14:textId="77777777" w:rsidTr="00271C63">
              <w:trPr>
                <w:trHeight w:val="330"/>
              </w:trPr>
              <w:tc>
                <w:tcPr>
                  <w:tcW w:w="1800"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6F23B52F"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f(20,25)</w:t>
                  </w:r>
                </w:p>
              </w:tc>
              <w:tc>
                <w:tcPr>
                  <w:tcW w:w="1800" w:type="dxa"/>
                  <w:tcBorders>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47EAC096"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3.2033%</w:t>
                  </w:r>
                </w:p>
              </w:tc>
            </w:tr>
            <w:tr w:rsidR="00B1463F" w:rsidRPr="005B2F74" w14:paraId="1CDEB84E" w14:textId="77777777" w:rsidTr="00271C63">
              <w:trPr>
                <w:trHeight w:val="330"/>
              </w:trPr>
              <w:tc>
                <w:tcPr>
                  <w:tcW w:w="1800"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3F12B48C"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f(20,30)</w:t>
                  </w:r>
                </w:p>
              </w:tc>
              <w:tc>
                <w:tcPr>
                  <w:tcW w:w="1800" w:type="dxa"/>
                  <w:tcBorders>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4BA53B3F"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3.1204%</w:t>
                  </w:r>
                </w:p>
              </w:tc>
            </w:tr>
            <w:tr w:rsidR="00B1463F" w:rsidRPr="005B2F74" w14:paraId="75443861" w14:textId="77777777" w:rsidTr="00271C63">
              <w:trPr>
                <w:trHeight w:val="330"/>
              </w:trPr>
              <w:tc>
                <w:tcPr>
                  <w:tcW w:w="1800"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275148B4"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f(20,40)</w:t>
                  </w:r>
                </w:p>
              </w:tc>
              <w:tc>
                <w:tcPr>
                  <w:tcW w:w="1800" w:type="dxa"/>
                  <w:tcBorders>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745ED5FD"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2.9849%</w:t>
                  </w:r>
                </w:p>
              </w:tc>
            </w:tr>
            <w:tr w:rsidR="00B1463F" w:rsidRPr="005B2F74" w14:paraId="75DB523C" w14:textId="77777777" w:rsidTr="00271C63">
              <w:trPr>
                <w:trHeight w:val="330"/>
              </w:trPr>
              <w:tc>
                <w:tcPr>
                  <w:tcW w:w="1800" w:type="dxa"/>
                  <w:tcBorders>
                    <w:left w:val="single" w:sz="8" w:space="0" w:color="ABABAB"/>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5533C99D"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f(20,50)</w:t>
                  </w:r>
                </w:p>
              </w:tc>
              <w:tc>
                <w:tcPr>
                  <w:tcW w:w="1800" w:type="dxa"/>
                  <w:tcBorders>
                    <w:bottom w:val="single" w:sz="8" w:space="0" w:color="ABABAB"/>
                    <w:right w:val="single" w:sz="8" w:space="0" w:color="ABABAB"/>
                  </w:tcBorders>
                  <w:shd w:val="clear" w:color="auto" w:fill="FFFFFF"/>
                  <w:tcMar>
                    <w:top w:w="15" w:type="dxa"/>
                    <w:left w:w="15" w:type="dxa"/>
                    <w:bottom w:w="15" w:type="dxa"/>
                    <w:right w:w="15" w:type="dxa"/>
                  </w:tcMar>
                  <w:vAlign w:val="center"/>
                  <w:hideMark/>
                </w:tcPr>
                <w:p w14:paraId="3ECA66EC" w14:textId="77777777" w:rsidR="00B1463F" w:rsidRPr="005B2F74" w:rsidRDefault="00B1463F" w:rsidP="00B1463F">
                  <w:pPr>
                    <w:spacing w:after="0" w:line="240" w:lineRule="auto"/>
                    <w:jc w:val="both"/>
                    <w:rPr>
                      <w:rFonts w:eastAsia="Calibri" w:cstheme="minorHAnsi"/>
                    </w:rPr>
                  </w:pPr>
                  <w:r w:rsidRPr="005B2F74">
                    <w:rPr>
                      <w:rFonts w:eastAsia="Calibri" w:cstheme="minorHAnsi"/>
                    </w:rPr>
                    <w:t>2.7699%</w:t>
                  </w:r>
                </w:p>
              </w:tc>
            </w:tr>
          </w:tbl>
          <w:p w14:paraId="24D89A94" w14:textId="77777777" w:rsidR="00BD67FF" w:rsidRPr="00684938" w:rsidRDefault="00BD67FF" w:rsidP="00834134">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B26FBD" w:rsidRPr="00F91F52" w14:paraId="50748DFC" w14:textId="77777777" w:rsidTr="786A9836">
        <w:trPr>
          <w:trHeight w:val="300"/>
        </w:trPr>
        <w:tc>
          <w:tcPr>
            <w:cnfStyle w:val="001000000000" w:firstRow="0" w:lastRow="0" w:firstColumn="1" w:lastColumn="0" w:oddVBand="0" w:evenVBand="0" w:oddHBand="0" w:evenHBand="0" w:firstRowFirstColumn="0" w:firstRowLastColumn="0" w:lastRowFirstColumn="0" w:lastRowLastColumn="0"/>
            <w:tcW w:w="448" w:type="dxa"/>
            <w:noWrap/>
          </w:tcPr>
          <w:p w14:paraId="507F37C7" w14:textId="530317A5" w:rsidR="00B26FBD" w:rsidRPr="00435127" w:rsidRDefault="000D3FD3" w:rsidP="007333FF">
            <w:pPr>
              <w:jc w:val="both"/>
              <w:rPr>
                <w:rFonts w:eastAsia="Calibri" w:cstheme="minorHAnsi"/>
                <w:lang w:val="en-GB"/>
              </w:rPr>
            </w:pPr>
            <w:r>
              <w:rPr>
                <w:rFonts w:eastAsia="Calibri" w:cstheme="minorHAnsi"/>
                <w:lang w:val="en-GB"/>
              </w:rPr>
              <w:lastRenderedPageBreak/>
              <w:t>4</w:t>
            </w:r>
          </w:p>
        </w:tc>
        <w:tc>
          <w:tcPr>
            <w:tcW w:w="3435" w:type="dxa"/>
          </w:tcPr>
          <w:p w14:paraId="3B8B9C91" w14:textId="236B5C46" w:rsidR="00B26FBD" w:rsidRPr="00F91F52" w:rsidRDefault="00055A8D" w:rsidP="00684938">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055A8D">
              <w:rPr>
                <w:rFonts w:eastAsia="Calibri" w:cstheme="minorHAnsi"/>
                <w:lang w:val="en-NL"/>
              </w:rPr>
              <w:t>How is the</w:t>
            </w:r>
            <w:r w:rsidR="00555DF4" w:rsidRPr="00055A8D">
              <w:rPr>
                <w:rFonts w:eastAsia="Calibri" w:cstheme="minorHAnsi"/>
                <w:lang w:val="en-NL"/>
              </w:rPr>
              <w:t xml:space="preserve"> ‘Scaled Risk Corrected Currency Spread’ </w:t>
            </w:r>
            <w:r w:rsidR="006B5B21">
              <w:rPr>
                <w:rFonts w:eastAsia="Calibri" w:cstheme="minorHAnsi"/>
                <w:lang w:val="en-NL"/>
              </w:rPr>
              <w:t>determined</w:t>
            </w:r>
            <w:r w:rsidRPr="00055A8D">
              <w:rPr>
                <w:rFonts w:eastAsia="Calibri" w:cstheme="minorHAnsi"/>
                <w:lang w:val="en-NL"/>
              </w:rPr>
              <w:t xml:space="preserve"> on the</w:t>
            </w:r>
            <w:r w:rsidR="00555DF4" w:rsidRPr="00055A8D">
              <w:rPr>
                <w:rFonts w:eastAsia="Calibri" w:cstheme="minorHAnsi"/>
                <w:lang w:val="en-NL"/>
              </w:rPr>
              <w:t xml:space="preserve"> ‘RCS and Scaling Factors’ </w:t>
            </w:r>
            <w:r w:rsidRPr="00055A8D">
              <w:rPr>
                <w:rFonts w:eastAsia="Calibri" w:cstheme="minorHAnsi"/>
                <w:lang w:val="en-NL"/>
              </w:rPr>
              <w:t xml:space="preserve">tab, specifically </w:t>
            </w:r>
            <w:r w:rsidR="00555DF4" w:rsidRPr="00055A8D">
              <w:rPr>
                <w:rFonts w:eastAsia="Calibri" w:cstheme="minorHAnsi"/>
                <w:lang w:val="en-NL"/>
              </w:rPr>
              <w:t xml:space="preserve">in </w:t>
            </w:r>
            <w:r w:rsidRPr="00055A8D">
              <w:rPr>
                <w:rFonts w:eastAsia="Calibri" w:cstheme="minorHAnsi"/>
                <w:lang w:val="en-NL"/>
              </w:rPr>
              <w:t>cell C5 of the</w:t>
            </w:r>
            <w:r w:rsidR="00555DF4" w:rsidRPr="00055A8D">
              <w:rPr>
                <w:rFonts w:eastAsia="Calibri" w:cstheme="minorHAnsi"/>
                <w:lang w:val="en-NL"/>
              </w:rPr>
              <w:t xml:space="preserve"> Technical Information Excel </w:t>
            </w:r>
            <w:r w:rsidRPr="00055A8D">
              <w:rPr>
                <w:rFonts w:eastAsia="Calibri" w:cstheme="minorHAnsi"/>
                <w:lang w:val="en-NL"/>
              </w:rPr>
              <w:t>file?</w:t>
            </w:r>
            <w:r w:rsidR="00A21128">
              <w:rPr>
                <w:rFonts w:eastAsia="Calibri" w:cstheme="minorHAnsi"/>
                <w:lang w:val="en-NL"/>
              </w:rPr>
              <w:br/>
            </w:r>
          </w:p>
        </w:tc>
        <w:tc>
          <w:tcPr>
            <w:tcW w:w="3772" w:type="dxa"/>
          </w:tcPr>
          <w:p w14:paraId="6324AC56" w14:textId="77777777" w:rsidR="00B113FC" w:rsidRPr="00B113FC" w:rsidRDefault="00B113FC" w:rsidP="00B113FC">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B113FC">
              <w:rPr>
                <w:rFonts w:eastAsia="Calibri" w:cstheme="minorHAnsi"/>
                <w:lang w:val="en-NL"/>
              </w:rPr>
              <w:t>We have received the VA data from EIOPA. To gain insight into the calculation of the RCS, it is therefore best to use the EIOPA tooling.</w:t>
            </w:r>
          </w:p>
          <w:p w14:paraId="76024741" w14:textId="77777777" w:rsidR="00B26FBD" w:rsidRPr="00F91F52" w:rsidRDefault="00B26FBD" w:rsidP="00684938">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p>
        </w:tc>
      </w:tr>
      <w:tr w:rsidR="00415ADB" w:rsidRPr="00F91F52" w14:paraId="55470FF0" w14:textId="77777777" w:rsidTr="786A98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8" w:type="dxa"/>
            <w:noWrap/>
          </w:tcPr>
          <w:p w14:paraId="3A46C68D" w14:textId="3FF33780" w:rsidR="00415ADB" w:rsidRPr="00F91F52" w:rsidRDefault="000D3FD3" w:rsidP="007333FF">
            <w:pPr>
              <w:jc w:val="both"/>
              <w:rPr>
                <w:rFonts w:eastAsia="Calibri" w:cstheme="minorHAnsi"/>
                <w:lang w:val="en-US"/>
              </w:rPr>
            </w:pPr>
            <w:r>
              <w:rPr>
                <w:rFonts w:eastAsia="Calibri" w:cstheme="minorHAnsi"/>
                <w:lang w:val="en-US"/>
              </w:rPr>
              <w:t>5</w:t>
            </w:r>
          </w:p>
        </w:tc>
        <w:tc>
          <w:tcPr>
            <w:tcW w:w="3435" w:type="dxa"/>
          </w:tcPr>
          <w:p w14:paraId="297720AD" w14:textId="722F6E3D" w:rsidR="00C05016" w:rsidRPr="00F91F52" w:rsidRDefault="00C05016" w:rsidP="00C05016">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91F52">
              <w:rPr>
                <w:rFonts w:eastAsia="Calibri" w:cstheme="minorHAnsi"/>
                <w:lang w:val="en-US"/>
              </w:rPr>
              <w:t xml:space="preserve">We compared the NO VA curves based on government bond rates in DNB’s </w:t>
            </w:r>
            <w:r w:rsidR="00A03C4C">
              <w:rPr>
                <w:rFonts w:eastAsia="Calibri" w:cstheme="minorHAnsi"/>
                <w:lang w:val="en-US"/>
              </w:rPr>
              <w:t>Technical Information Excel file</w:t>
            </w:r>
            <w:r w:rsidRPr="00F91F52">
              <w:rPr>
                <w:rFonts w:eastAsia="Calibri" w:cstheme="minorHAnsi"/>
                <w:lang w:val="en-US"/>
              </w:rPr>
              <w:t xml:space="preserve"> with the current EIOPA curves.</w:t>
            </w:r>
          </w:p>
          <w:p w14:paraId="58B5AB4D" w14:textId="77777777" w:rsidR="000218AD" w:rsidRPr="00F91F52" w:rsidRDefault="000218AD" w:rsidP="00C05016">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14:paraId="3EB4D2C7" w14:textId="675F257D" w:rsidR="000218AD" w:rsidRPr="00F91F52" w:rsidRDefault="00D97D67" w:rsidP="00C05016">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Pr>
                <w:rFonts w:eastAsia="Calibri" w:cstheme="minorHAnsi"/>
                <w:lang w:val="en-US"/>
              </w:rPr>
              <w:t>W</w:t>
            </w:r>
            <w:r w:rsidR="00C05016" w:rsidRPr="00F91F52">
              <w:rPr>
                <w:rFonts w:eastAsia="Calibri" w:cstheme="minorHAnsi"/>
                <w:lang w:val="en-US"/>
              </w:rPr>
              <w:t xml:space="preserve">ith the current methodology identical curves </w:t>
            </w:r>
            <w:r w:rsidR="00747D87">
              <w:rPr>
                <w:rFonts w:eastAsia="Calibri" w:cstheme="minorHAnsi"/>
                <w:lang w:val="en-US"/>
              </w:rPr>
              <w:t xml:space="preserve">should be obtained </w:t>
            </w:r>
            <w:r w:rsidR="00C05016" w:rsidRPr="00F91F52">
              <w:rPr>
                <w:rFonts w:eastAsia="Calibri" w:cstheme="minorHAnsi"/>
                <w:lang w:val="en-US"/>
              </w:rPr>
              <w:t>up to the FSP, since all tenors are liquid until that point (so the change in the interpolation methodology do not affect this curve).</w:t>
            </w:r>
          </w:p>
          <w:p w14:paraId="101A4283" w14:textId="77777777" w:rsidR="000218AD" w:rsidRPr="00F91F52" w:rsidRDefault="000218AD" w:rsidP="00C05016">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14:paraId="5A2D4F28" w14:textId="1DD3D73D" w:rsidR="00C05016" w:rsidRPr="00C05016" w:rsidRDefault="00C05016" w:rsidP="00C05016">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sidRPr="00F91F52">
              <w:rPr>
                <w:rFonts w:eastAsia="Calibri" w:cstheme="minorHAnsi"/>
                <w:lang w:val="en-US"/>
              </w:rPr>
              <w:t xml:space="preserve">However, the curves in DNB’s </w:t>
            </w:r>
            <w:r w:rsidR="00A03C4C">
              <w:rPr>
                <w:rFonts w:eastAsia="Calibri" w:cstheme="minorHAnsi"/>
                <w:lang w:val="en-US"/>
              </w:rPr>
              <w:t>Technical Information Excel file</w:t>
            </w:r>
            <w:r w:rsidRPr="00F91F52">
              <w:rPr>
                <w:rFonts w:eastAsia="Calibri" w:cstheme="minorHAnsi"/>
                <w:lang w:val="en-US"/>
              </w:rPr>
              <w:t xml:space="preserve"> differ from those produced by the current method. </w:t>
            </w:r>
            <w:r w:rsidRPr="00C05016">
              <w:rPr>
                <w:rFonts w:eastAsia="Calibri" w:cstheme="minorHAnsi"/>
              </w:rPr>
              <w:t>Could you please clarify the reason for this discrepancy?</w:t>
            </w:r>
          </w:p>
          <w:p w14:paraId="483BF041" w14:textId="77777777" w:rsidR="00415ADB" w:rsidRPr="00684938" w:rsidRDefault="00415ADB" w:rsidP="00684938">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3772" w:type="dxa"/>
          </w:tcPr>
          <w:p w14:paraId="1CCC1685" w14:textId="77777777" w:rsidR="00232AD3" w:rsidRPr="00F91F52" w:rsidRDefault="00232AD3" w:rsidP="00F91F52">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91F52">
              <w:rPr>
                <w:rFonts w:eastAsia="Calibri" w:cstheme="minorHAnsi"/>
                <w:lang w:val="en-US"/>
              </w:rPr>
              <w:t>Following the RFR technical documentation, the GVT RIC is used for HUF. More specifically, we use the 'HUGOV1YZ=R' RIC in the tool for the impact assessment and this yields a value of 6,1562 for the 1Y maturity.</w:t>
            </w:r>
          </w:p>
          <w:p w14:paraId="3863FB19" w14:textId="77777777" w:rsidR="00232AD3" w:rsidRPr="00F91F52" w:rsidRDefault="00232AD3" w:rsidP="00232AD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14:paraId="5C88A6AF" w14:textId="41717360" w:rsidR="00232AD3" w:rsidRPr="00F91F52" w:rsidRDefault="00232AD3" w:rsidP="00F91F52">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91F52">
              <w:rPr>
                <w:rFonts w:eastAsia="Calibri" w:cstheme="minorHAnsi"/>
                <w:lang w:val="en-US"/>
              </w:rPr>
              <w:t>Compared to the RFR curve for HUF from EIOPA this yields a difference of less than 1 bp.</w:t>
            </w:r>
          </w:p>
          <w:p w14:paraId="77D9CCE4" w14:textId="77777777" w:rsidR="00232AD3" w:rsidRPr="00F91F52" w:rsidRDefault="00232AD3" w:rsidP="00232AD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p w14:paraId="016F7486" w14:textId="1021B2EC" w:rsidR="00232AD3" w:rsidRPr="00F91F52" w:rsidRDefault="00232AD3" w:rsidP="00F91F52">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r w:rsidRPr="00F91F52">
              <w:rPr>
                <w:rFonts w:eastAsia="Calibri" w:cstheme="minorHAnsi"/>
                <w:lang w:val="en-US"/>
              </w:rPr>
              <w:t>In the sheet you have shared, you appear to use a different RIC for HUF. This seems to be causing the differences between your approach and our tool for the impact assessment.</w:t>
            </w:r>
          </w:p>
          <w:p w14:paraId="3E7CD012" w14:textId="77777777" w:rsidR="00415ADB" w:rsidRPr="00F91F52" w:rsidRDefault="00415ADB" w:rsidP="00684938">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US"/>
              </w:rPr>
            </w:pPr>
          </w:p>
        </w:tc>
      </w:tr>
      <w:tr w:rsidR="0087523A" w:rsidRPr="00F91F52" w14:paraId="18871CC3" w14:textId="77777777" w:rsidTr="786A9836">
        <w:trPr>
          <w:trHeight w:val="300"/>
        </w:trPr>
        <w:tc>
          <w:tcPr>
            <w:cnfStyle w:val="001000000000" w:firstRow="0" w:lastRow="0" w:firstColumn="1" w:lastColumn="0" w:oddVBand="0" w:evenVBand="0" w:oddHBand="0" w:evenHBand="0" w:firstRowFirstColumn="0" w:firstRowLastColumn="0" w:lastRowFirstColumn="0" w:lastRowLastColumn="0"/>
            <w:tcW w:w="448" w:type="dxa"/>
            <w:noWrap/>
          </w:tcPr>
          <w:p w14:paraId="3C28A287" w14:textId="39982F93" w:rsidR="0087523A" w:rsidRPr="0087523A" w:rsidRDefault="000D3FD3" w:rsidP="007333FF">
            <w:pPr>
              <w:jc w:val="both"/>
              <w:rPr>
                <w:rFonts w:eastAsia="Calibri" w:cstheme="minorHAnsi"/>
                <w:lang w:val="en-US"/>
              </w:rPr>
            </w:pPr>
            <w:r>
              <w:rPr>
                <w:rFonts w:eastAsia="Calibri" w:cstheme="minorHAnsi"/>
                <w:lang w:val="en-US"/>
              </w:rPr>
              <w:t>6</w:t>
            </w:r>
          </w:p>
        </w:tc>
        <w:tc>
          <w:tcPr>
            <w:tcW w:w="3435" w:type="dxa"/>
          </w:tcPr>
          <w:p w14:paraId="5B264867" w14:textId="0AE1881A" w:rsidR="00AE5F1D" w:rsidRPr="00AE5F1D" w:rsidRDefault="00AE5F1D" w:rsidP="00AE5F1D">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AE5F1D">
              <w:rPr>
                <w:rFonts w:eastAsia="Calibri" w:cstheme="minorHAnsi"/>
                <w:lang w:val="en-NL"/>
              </w:rPr>
              <w:t>When comparing the WITH VA curves to the NO VA curves</w:t>
            </w:r>
            <w:r w:rsidR="00A03C4C">
              <w:rPr>
                <w:rFonts w:eastAsia="Calibri" w:cstheme="minorHAnsi"/>
                <w:lang w:val="en-NL"/>
              </w:rPr>
              <w:t xml:space="preserve"> in </w:t>
            </w:r>
            <w:r w:rsidR="00A03C4C" w:rsidRPr="00F91F52">
              <w:rPr>
                <w:rFonts w:eastAsia="Calibri" w:cstheme="minorHAnsi"/>
                <w:lang w:val="en-US"/>
              </w:rPr>
              <w:t xml:space="preserve">DNB’s </w:t>
            </w:r>
            <w:r w:rsidR="00A03C4C">
              <w:rPr>
                <w:rFonts w:eastAsia="Calibri" w:cstheme="minorHAnsi"/>
                <w:lang w:val="en-US"/>
              </w:rPr>
              <w:t>Technical Information Excel file</w:t>
            </w:r>
            <w:r w:rsidRPr="00AE5F1D">
              <w:rPr>
                <w:rFonts w:eastAsia="Calibri" w:cstheme="minorHAnsi"/>
                <w:lang w:val="en-NL"/>
              </w:rPr>
              <w:t>, we noticed that the difference in annual-compounded rates no longer corresponds directly to the VOLA adjustment, unlike under the previous methodology.</w:t>
            </w:r>
          </w:p>
          <w:p w14:paraId="160B0C69" w14:textId="77777777" w:rsidR="00781CA5" w:rsidRPr="00AE5F1D" w:rsidRDefault="00781CA5" w:rsidP="00AE5F1D">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p>
          <w:p w14:paraId="66B4857C" w14:textId="77777777" w:rsidR="00AE5F1D" w:rsidRPr="00AE5F1D" w:rsidRDefault="00AE5F1D" w:rsidP="00AE5F1D">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AE5F1D">
              <w:rPr>
                <w:rFonts w:eastAsia="Calibri" w:cstheme="minorHAnsi"/>
                <w:lang w:val="en-NL"/>
              </w:rPr>
              <w:t>Are you aware of any methodological changes in how the VOLA adjustment will be applied under the SII review?</w:t>
            </w:r>
          </w:p>
          <w:p w14:paraId="7DEFF998" w14:textId="77777777" w:rsidR="0087523A" w:rsidRPr="00F91F52" w:rsidRDefault="0087523A" w:rsidP="00C05016">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p>
        </w:tc>
        <w:tc>
          <w:tcPr>
            <w:tcW w:w="3772" w:type="dxa"/>
          </w:tcPr>
          <w:p w14:paraId="3256A1E2" w14:textId="77777777" w:rsidR="00CD7C3A" w:rsidRPr="00CD7C3A" w:rsidRDefault="00CD7C3A" w:rsidP="00F91F52">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CD7C3A">
              <w:rPr>
                <w:rFonts w:eastAsia="Calibri" w:cstheme="minorHAnsi"/>
                <w:lang w:val="en-NL"/>
              </w:rPr>
              <w:t>Given the annual compounded curve without VA, the VA is added to this curve in continuous time up to the FSP. The alternative extrapolation is afterwards applied on this continuous time curve and the result is transformed back to annual compounding.</w:t>
            </w:r>
          </w:p>
          <w:p w14:paraId="00714C33" w14:textId="77777777" w:rsidR="00CD7C3A" w:rsidRDefault="00CD7C3A" w:rsidP="00CD7C3A">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p>
          <w:p w14:paraId="408D19E4" w14:textId="2956C286" w:rsidR="00CD7C3A" w:rsidRPr="00CD7C3A" w:rsidRDefault="00CD7C3A" w:rsidP="00F91F52">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CD7C3A">
              <w:rPr>
                <w:rFonts w:eastAsia="Calibri" w:cstheme="minorHAnsi"/>
                <w:lang w:val="en-NL"/>
              </w:rPr>
              <w:t>Suppose you consider the AC curve without VA. The continuous compounded curve before extrapolation would amount to:</w:t>
            </w:r>
          </w:p>
          <w:p w14:paraId="002721EA" w14:textId="77777777" w:rsidR="00CD7C3A" w:rsidRPr="00CD7C3A" w:rsidRDefault="00CD7C3A" w:rsidP="00CD7C3A">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CD7C3A">
              <w:rPr>
                <w:rFonts w:eastAsia="Calibri" w:cstheme="minorHAnsi"/>
                <w:lang w:val="en-NL"/>
              </w:rPr>
              <w:t> </w:t>
            </w:r>
            <w:r w:rsidRPr="00CD7C3A">
              <w:rPr>
                <w:rFonts w:eastAsia="Calibri" w:cstheme="minorHAnsi"/>
                <w:lang w:val="en-NL"/>
              </w:rPr>
              <w:t> </w:t>
            </w:r>
            <w:r w:rsidRPr="00CD7C3A">
              <w:rPr>
                <w:rFonts w:eastAsia="Calibri" w:cstheme="minorHAnsi"/>
                <w:lang w:val="en-NL"/>
              </w:rPr>
              <w:t> </w:t>
            </w:r>
            <w:r w:rsidRPr="00CD7C3A">
              <w:rPr>
                <w:rFonts w:eastAsia="Calibri" w:cstheme="minorHAnsi"/>
                <w:lang w:val="en-NL"/>
              </w:rPr>
              <w:t> </w:t>
            </w:r>
            <w:r w:rsidRPr="00CD7C3A">
              <w:rPr>
                <w:rFonts w:eastAsia="Calibri" w:cstheme="minorHAnsi"/>
                <w:lang w:val="en-NL"/>
              </w:rPr>
              <w:t>r(t, with VA) =</w:t>
            </w:r>
          </w:p>
          <w:p w14:paraId="784CB890" w14:textId="12299F7E" w:rsidR="00CD7C3A" w:rsidRPr="00CD7C3A" w:rsidRDefault="00CE430A" w:rsidP="00CD7C3A">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Pr>
                <w:rFonts w:eastAsia="Calibri" w:cstheme="minorHAnsi"/>
                <w:lang w:val="en-NL"/>
              </w:rPr>
              <w:br/>
            </w:r>
            <w:r w:rsidR="00CD7C3A" w:rsidRPr="00CD7C3A">
              <w:rPr>
                <w:rFonts w:eastAsia="Calibri" w:cstheme="minorHAnsi"/>
                <w:lang w:val="en-NL"/>
              </w:rPr>
              <w:t>ln[1 + r(1, no VA)] + ln(1 + VA/10000)</w:t>
            </w:r>
            <w:r>
              <w:rPr>
                <w:rFonts w:eastAsia="Calibri" w:cstheme="minorHAnsi"/>
                <w:lang w:val="en-NL"/>
              </w:rPr>
              <w:t>,</w:t>
            </w:r>
            <w:r w:rsidR="00CD7C3A" w:rsidRPr="00CD7C3A">
              <w:rPr>
                <w:rFonts w:eastAsia="Calibri" w:cstheme="minorHAnsi"/>
                <w:lang w:val="en-NL"/>
              </w:rPr>
              <w:t> </w:t>
            </w:r>
            <w:r w:rsidR="00CD7C3A" w:rsidRPr="00CD7C3A">
              <w:rPr>
                <w:rFonts w:eastAsia="Calibri" w:cstheme="minorHAnsi"/>
                <w:lang w:val="en-NL"/>
              </w:rPr>
              <w:t> </w:t>
            </w:r>
            <w:r w:rsidR="00CD7C3A" w:rsidRPr="00CD7C3A">
              <w:rPr>
                <w:rFonts w:eastAsia="Calibri" w:cstheme="minorHAnsi"/>
                <w:lang w:val="en-NL"/>
              </w:rPr>
              <w:t> </w:t>
            </w:r>
            <w:r w:rsidR="00CD7C3A" w:rsidRPr="00CD7C3A">
              <w:rPr>
                <w:rFonts w:eastAsia="Calibri" w:cstheme="minorHAnsi"/>
                <w:lang w:val="en-NL"/>
              </w:rPr>
              <w:t> </w:t>
            </w:r>
            <w:r w:rsidR="00CD7C3A" w:rsidRPr="00CD7C3A">
              <w:rPr>
                <w:rFonts w:eastAsia="Calibri" w:cstheme="minorHAnsi"/>
                <w:lang w:val="en-NL"/>
              </w:rPr>
              <w:t>if t = 1</w:t>
            </w:r>
          </w:p>
          <w:p w14:paraId="4060EC0D" w14:textId="77777777" w:rsidR="00CE430A" w:rsidRPr="00CD7C3A" w:rsidRDefault="00CE430A" w:rsidP="00CD7C3A">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p>
          <w:p w14:paraId="7A473347" w14:textId="66902A9A" w:rsidR="0087523A" w:rsidRPr="00F91F52" w:rsidRDefault="00CD7C3A" w:rsidP="00CE430A">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NL"/>
              </w:rPr>
            </w:pPr>
            <w:r w:rsidRPr="00CD7C3A">
              <w:rPr>
                <w:rFonts w:eastAsia="Calibri" w:cstheme="minorHAnsi"/>
                <w:lang w:val="en-NL"/>
              </w:rPr>
              <w:t>{t * ln[1 + r(t, no VA)] - (t - 1) * ln[1 + r(t - 1, no VA)] + (t &lt;= FSP) * ln(1 + VA/10000) + (t - 1) * r(t - 1, with VA)} / t</w:t>
            </w:r>
            <w:r w:rsidR="00CE430A">
              <w:rPr>
                <w:rFonts w:eastAsia="Calibri" w:cstheme="minorHAnsi"/>
                <w:lang w:val="en-NL"/>
              </w:rPr>
              <w:t>,</w:t>
            </w:r>
            <w:r w:rsidRPr="00CD7C3A">
              <w:rPr>
                <w:rFonts w:eastAsia="Calibri" w:cstheme="minorHAnsi"/>
                <w:lang w:val="en-NL"/>
              </w:rPr>
              <w:t> </w:t>
            </w:r>
            <w:r w:rsidRPr="00CD7C3A">
              <w:rPr>
                <w:rFonts w:eastAsia="Calibri" w:cstheme="minorHAnsi"/>
                <w:lang w:val="en-NL"/>
              </w:rPr>
              <w:t> </w:t>
            </w:r>
            <w:r w:rsidRPr="00CD7C3A">
              <w:rPr>
                <w:rFonts w:eastAsia="Calibri" w:cstheme="minorHAnsi"/>
                <w:lang w:val="en-NL"/>
              </w:rPr>
              <w:t> </w:t>
            </w:r>
            <w:r w:rsidRPr="00CD7C3A">
              <w:rPr>
                <w:rFonts w:eastAsia="Calibri" w:cstheme="minorHAnsi"/>
                <w:lang w:val="en-NL"/>
              </w:rPr>
              <w:t> </w:t>
            </w:r>
            <w:r w:rsidRPr="00CD7C3A">
              <w:rPr>
                <w:rFonts w:eastAsia="Calibri" w:cstheme="minorHAnsi"/>
                <w:lang w:val="en-NL"/>
              </w:rPr>
              <w:t>if t &gt; 1</w:t>
            </w:r>
          </w:p>
        </w:tc>
      </w:tr>
      <w:tr w:rsidR="00AE5F1D" w:rsidRPr="00F91F52" w14:paraId="44966FBE" w14:textId="77777777" w:rsidTr="786A98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8" w:type="dxa"/>
            <w:noWrap/>
          </w:tcPr>
          <w:p w14:paraId="5514E3B4" w14:textId="077AB6B1" w:rsidR="00AE5F1D" w:rsidRPr="0087523A" w:rsidRDefault="000D3FD3" w:rsidP="007333FF">
            <w:pPr>
              <w:jc w:val="both"/>
              <w:rPr>
                <w:rFonts w:eastAsia="Calibri" w:cstheme="minorHAnsi"/>
                <w:lang w:val="en-US"/>
              </w:rPr>
            </w:pPr>
            <w:r>
              <w:rPr>
                <w:rFonts w:eastAsia="Calibri" w:cstheme="minorHAnsi"/>
                <w:lang w:val="en-US"/>
              </w:rPr>
              <w:lastRenderedPageBreak/>
              <w:t>7</w:t>
            </w:r>
          </w:p>
        </w:tc>
        <w:tc>
          <w:tcPr>
            <w:tcW w:w="3435" w:type="dxa"/>
          </w:tcPr>
          <w:p w14:paraId="66B6B0F7" w14:textId="77777777" w:rsidR="005C4DCF" w:rsidRDefault="005C4DCF" w:rsidP="005C4DC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r>
              <w:rPr>
                <w:rFonts w:eastAsia="Calibri" w:cstheme="minorHAnsi"/>
                <w:lang w:val="en-NL"/>
              </w:rPr>
              <w:t>O</w:t>
            </w:r>
            <w:r w:rsidRPr="005C4DCF">
              <w:rPr>
                <w:rFonts w:eastAsia="Calibri" w:cstheme="minorHAnsi"/>
                <w:lang w:val="en-NL"/>
              </w:rPr>
              <w:t xml:space="preserve">ur understanding </w:t>
            </w:r>
            <w:r>
              <w:rPr>
                <w:rFonts w:eastAsia="Calibri" w:cstheme="minorHAnsi"/>
                <w:lang w:val="en-NL"/>
              </w:rPr>
              <w:t xml:space="preserve">is </w:t>
            </w:r>
            <w:r w:rsidRPr="005C4DCF">
              <w:rPr>
                <w:rFonts w:eastAsia="Calibri" w:cstheme="minorHAnsi"/>
                <w:lang w:val="en-NL"/>
              </w:rPr>
              <w:t>that applying the SF shock directly to the extrapolated WITH VA curve should yield the same result as adding the VOLA to the shocked NO VA curve.</w:t>
            </w:r>
          </w:p>
          <w:p w14:paraId="59E29D65" w14:textId="77777777" w:rsidR="005C4DCF" w:rsidRDefault="005C4DCF" w:rsidP="005C4DC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p>
          <w:p w14:paraId="3642638F" w14:textId="1D64CC97" w:rsidR="005C4DCF" w:rsidRPr="005C4DCF" w:rsidRDefault="005C4DCF" w:rsidP="005C4DCF">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r w:rsidRPr="005C4DCF">
              <w:rPr>
                <w:rFonts w:eastAsia="Calibri" w:cstheme="minorHAnsi"/>
                <w:lang w:val="en-NL"/>
              </w:rPr>
              <w:t>We tested this for EUR and CZK but observed that this equivalence holds only up to the FSP. Could you please confirm whether this behaviour is expected and which method should be used?</w:t>
            </w:r>
          </w:p>
          <w:p w14:paraId="1D7065F5" w14:textId="77777777" w:rsidR="00AE5F1D" w:rsidRPr="00AE5F1D" w:rsidRDefault="00AE5F1D" w:rsidP="00AE5F1D">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p>
        </w:tc>
        <w:tc>
          <w:tcPr>
            <w:tcW w:w="3772" w:type="dxa"/>
          </w:tcPr>
          <w:p w14:paraId="299952EC" w14:textId="17AA98E3" w:rsidR="006A7B0E" w:rsidRPr="006A7B0E" w:rsidRDefault="006A7B0E" w:rsidP="006A7B0E">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r w:rsidRPr="006A7B0E">
              <w:rPr>
                <w:rFonts w:eastAsia="Calibri" w:cstheme="minorHAnsi"/>
                <w:lang w:val="en-NL"/>
              </w:rPr>
              <w:t xml:space="preserve">The alternative extrapolation should be applied after incorporating the SF shocks. Moreover, since the alternative extrapolation comes into effect beyond the FSP, this implies that the rates beyond the FSP will be affected and not necessarily be the same as applying the SF shocks directly beyond the </w:t>
            </w:r>
            <w:r w:rsidR="003D6D4B">
              <w:rPr>
                <w:rFonts w:eastAsia="Calibri" w:cstheme="minorHAnsi"/>
                <w:lang w:val="en-NL"/>
              </w:rPr>
              <w:t>FSP</w:t>
            </w:r>
            <w:r w:rsidRPr="006A7B0E">
              <w:rPr>
                <w:rFonts w:eastAsia="Calibri" w:cstheme="minorHAnsi"/>
                <w:lang w:val="en-NL"/>
              </w:rPr>
              <w:t xml:space="preserve"> and disregarding the alternative extrapolation.</w:t>
            </w:r>
          </w:p>
          <w:p w14:paraId="7C041B40" w14:textId="77777777" w:rsidR="00AE5F1D" w:rsidRPr="00F91F52" w:rsidRDefault="00AE5F1D" w:rsidP="00232AD3">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NL"/>
              </w:rPr>
            </w:pPr>
          </w:p>
        </w:tc>
      </w:tr>
    </w:tbl>
    <w:p w14:paraId="2B4EAC3A" w14:textId="77777777" w:rsidR="00622780" w:rsidRPr="00F91F52" w:rsidRDefault="00622780" w:rsidP="007333FF">
      <w:pPr>
        <w:spacing w:line="240" w:lineRule="auto"/>
        <w:jc w:val="both"/>
        <w:rPr>
          <w:rFonts w:eastAsia="Calibri" w:cstheme="minorHAnsi"/>
          <w:lang w:val="en-US"/>
        </w:rPr>
      </w:pPr>
    </w:p>
    <w:sectPr w:rsidR="00622780" w:rsidRPr="00F91F52" w:rsidSect="00917C5B">
      <w:headerReference w:type="even" r:id="rId10"/>
      <w:headerReference w:type="default" r:id="rId11"/>
      <w:headerReference w:type="first" r:id="rId12"/>
      <w:pgSz w:w="11906" w:h="16838"/>
      <w:pgMar w:top="2552" w:right="311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3DC6" w14:textId="77777777" w:rsidR="00EE4D11" w:rsidRDefault="00EE4D11" w:rsidP="00A12A35">
      <w:pPr>
        <w:spacing w:after="0" w:line="240" w:lineRule="auto"/>
      </w:pPr>
      <w:r>
        <w:separator/>
      </w:r>
    </w:p>
  </w:endnote>
  <w:endnote w:type="continuationSeparator" w:id="0">
    <w:p w14:paraId="16359FCF" w14:textId="77777777" w:rsidR="00EE4D11" w:rsidRDefault="00EE4D11" w:rsidP="00A12A35">
      <w:pPr>
        <w:spacing w:after="0" w:line="240" w:lineRule="auto"/>
      </w:pPr>
      <w:r>
        <w:continuationSeparator/>
      </w:r>
    </w:p>
  </w:endnote>
  <w:endnote w:type="continuationNotice" w:id="1">
    <w:p w14:paraId="1EC9EE0A" w14:textId="77777777" w:rsidR="00EE4D11" w:rsidRDefault="00EE4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8F06" w14:textId="77777777" w:rsidR="00EE4D11" w:rsidRDefault="00EE4D11" w:rsidP="00A12A35">
      <w:pPr>
        <w:spacing w:after="0" w:line="240" w:lineRule="auto"/>
      </w:pPr>
      <w:r>
        <w:separator/>
      </w:r>
    </w:p>
  </w:footnote>
  <w:footnote w:type="continuationSeparator" w:id="0">
    <w:p w14:paraId="59546FF8" w14:textId="77777777" w:rsidR="00EE4D11" w:rsidRDefault="00EE4D11" w:rsidP="00A12A35">
      <w:pPr>
        <w:spacing w:after="0" w:line="240" w:lineRule="auto"/>
      </w:pPr>
      <w:r>
        <w:continuationSeparator/>
      </w:r>
    </w:p>
  </w:footnote>
  <w:footnote w:type="continuationNotice" w:id="1">
    <w:p w14:paraId="33763BB6" w14:textId="77777777" w:rsidR="00EE4D11" w:rsidRDefault="00EE4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7725" w14:textId="2C315E16" w:rsidR="00E70BC2" w:rsidRDefault="009C5EA5">
    <w:pPr>
      <w:pStyle w:val="Header"/>
    </w:pPr>
    <w:r>
      <w:rPr>
        <w:noProof/>
      </w:rPr>
      <mc:AlternateContent>
        <mc:Choice Requires="wps">
          <w:drawing>
            <wp:anchor distT="0" distB="0" distL="0" distR="0" simplePos="0" relativeHeight="251658242" behindDoc="0" locked="0" layoutInCell="1" allowOverlap="1" wp14:anchorId="7CF33C2B" wp14:editId="3975913E">
              <wp:simplePos x="635" y="635"/>
              <wp:positionH relativeFrom="page">
                <wp:align>left</wp:align>
              </wp:positionH>
              <wp:positionV relativeFrom="page">
                <wp:align>top</wp:align>
              </wp:positionV>
              <wp:extent cx="1056005" cy="357505"/>
              <wp:effectExtent l="0" t="0" r="10795" b="4445"/>
              <wp:wrapNone/>
              <wp:docPr id="997047864" name="Text Box 2"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005" cy="357505"/>
                      </a:xfrm>
                      <a:prstGeom prst="rect">
                        <a:avLst/>
                      </a:prstGeom>
                      <a:noFill/>
                      <a:ln>
                        <a:noFill/>
                      </a:ln>
                    </wps:spPr>
                    <wps:txbx>
                      <w:txbxContent>
                        <w:p w14:paraId="4545E50A" w14:textId="25708441" w:rsidR="009C5EA5" w:rsidRPr="009C5EA5" w:rsidRDefault="009C5EA5" w:rsidP="009C5EA5">
                          <w:pPr>
                            <w:spacing w:after="0"/>
                            <w:rPr>
                              <w:rFonts w:ascii="Calibri" w:eastAsia="Calibri" w:hAnsi="Calibri" w:cs="Calibri"/>
                              <w:noProof/>
                              <w:color w:val="7FAA39"/>
                              <w:sz w:val="20"/>
                              <w:szCs w:val="20"/>
                            </w:rPr>
                          </w:pPr>
                          <w:r w:rsidRPr="009C5EA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F33C2B" id="_x0000_t202" coordsize="21600,21600" o:spt="202" path="m,l,21600r21600,l21600,xe">
              <v:stroke joinstyle="miter"/>
              <v:path gradientshapeok="t" o:connecttype="rect"/>
            </v:shapetype>
            <v:shape id="Text Box 2" o:spid="_x0000_s1026" type="#_x0000_t202" alt="| DNB PUBLIC |" style="position:absolute;margin-left:0;margin-top:0;width:83.1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" filled="f" stroked="f">
              <v:textbox style="mso-fit-shape-to-text:t" inset="20pt,15pt,0,0">
                <w:txbxContent>
                  <w:p w14:paraId="4545E50A" w14:textId="25708441" w:rsidR="009C5EA5" w:rsidRPr="009C5EA5" w:rsidRDefault="009C5EA5" w:rsidP="009C5EA5">
                    <w:pPr>
                      <w:spacing w:after="0"/>
                      <w:rPr>
                        <w:rFonts w:ascii="Calibri" w:eastAsia="Calibri" w:hAnsi="Calibri" w:cs="Calibri"/>
                        <w:noProof/>
                        <w:color w:val="7FAA39"/>
                        <w:sz w:val="20"/>
                        <w:szCs w:val="20"/>
                      </w:rPr>
                    </w:pPr>
                    <w:r w:rsidRPr="009C5EA5">
                      <w:rPr>
                        <w:rFonts w:ascii="Calibri" w:eastAsia="Calibri" w:hAnsi="Calibri" w:cs="Calibri"/>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3B06" w14:textId="539A714D" w:rsidR="00917C5B" w:rsidRPr="00917C5B" w:rsidRDefault="009C5EA5" w:rsidP="00917C5B">
    <w:pPr>
      <w:pStyle w:val="Header"/>
      <w:tabs>
        <w:tab w:val="clear" w:pos="9026"/>
        <w:tab w:val="right" w:pos="7371"/>
      </w:tabs>
      <w:ind w:right="1655"/>
      <w:rPr>
        <w:rFonts w:ascii="Verdana" w:hAnsi="Verdana"/>
        <w:sz w:val="17"/>
        <w:szCs w:val="17"/>
      </w:rPr>
    </w:pPr>
    <w:r>
      <w:rPr>
        <w:rFonts w:ascii="Verdana" w:hAnsi="Verdana"/>
        <w:noProof/>
        <w:sz w:val="17"/>
        <w:szCs w:val="17"/>
      </w:rPr>
      <mc:AlternateContent>
        <mc:Choice Requires="wps">
          <w:drawing>
            <wp:anchor distT="0" distB="0" distL="0" distR="0" simplePos="0" relativeHeight="251658243" behindDoc="0" locked="0" layoutInCell="1" allowOverlap="1" wp14:anchorId="66F97E4C" wp14:editId="0C61AFD1">
              <wp:simplePos x="635" y="635"/>
              <wp:positionH relativeFrom="page">
                <wp:align>left</wp:align>
              </wp:positionH>
              <wp:positionV relativeFrom="page">
                <wp:align>top</wp:align>
              </wp:positionV>
              <wp:extent cx="1056005" cy="357505"/>
              <wp:effectExtent l="0" t="0" r="10795" b="4445"/>
              <wp:wrapNone/>
              <wp:docPr id="1162495444" name="Text Box 3"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005" cy="357505"/>
                      </a:xfrm>
                      <a:prstGeom prst="rect">
                        <a:avLst/>
                      </a:prstGeom>
                      <a:noFill/>
                      <a:ln>
                        <a:noFill/>
                      </a:ln>
                    </wps:spPr>
                    <wps:txbx>
                      <w:txbxContent>
                        <w:p w14:paraId="1CAA2482" w14:textId="46475429" w:rsidR="009C5EA5" w:rsidRPr="009C5EA5" w:rsidRDefault="009C5EA5" w:rsidP="009C5EA5">
                          <w:pPr>
                            <w:spacing w:after="0"/>
                            <w:rPr>
                              <w:rFonts w:ascii="Calibri" w:eastAsia="Calibri" w:hAnsi="Calibri" w:cs="Calibri"/>
                              <w:noProof/>
                              <w:color w:val="7FAA39"/>
                              <w:sz w:val="20"/>
                              <w:szCs w:val="20"/>
                            </w:rPr>
                          </w:pPr>
                          <w:r w:rsidRPr="009C5EA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F97E4C" id="_x0000_t202" coordsize="21600,21600" o:spt="202" path="m,l,21600r21600,l21600,xe">
              <v:stroke joinstyle="miter"/>
              <v:path gradientshapeok="t" o:connecttype="rect"/>
            </v:shapetype>
            <v:shape id="Text Box 3" o:spid="_x0000_s1027" type="#_x0000_t202" alt="| DNB PUBLIC |" style="position:absolute;margin-left:0;margin-top:0;width:83.15pt;height:28.1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" filled="f" stroked="f">
              <v:textbox style="mso-fit-shape-to-text:t" inset="20pt,15pt,0,0">
                <w:txbxContent>
                  <w:p w14:paraId="1CAA2482" w14:textId="46475429" w:rsidR="009C5EA5" w:rsidRPr="009C5EA5" w:rsidRDefault="009C5EA5" w:rsidP="009C5EA5">
                    <w:pPr>
                      <w:spacing w:after="0"/>
                      <w:rPr>
                        <w:rFonts w:ascii="Calibri" w:eastAsia="Calibri" w:hAnsi="Calibri" w:cs="Calibri"/>
                        <w:noProof/>
                        <w:color w:val="7FAA39"/>
                        <w:sz w:val="20"/>
                        <w:szCs w:val="20"/>
                      </w:rPr>
                    </w:pPr>
                    <w:r w:rsidRPr="009C5EA5">
                      <w:rPr>
                        <w:rFonts w:ascii="Calibri" w:eastAsia="Calibri" w:hAnsi="Calibri" w:cs="Calibri"/>
                        <w:noProof/>
                        <w:color w:val="7FAA39"/>
                        <w:sz w:val="20"/>
                        <w:szCs w:val="20"/>
                      </w:rPr>
                      <w:t>| DNB PUBLIC |</w:t>
                    </w:r>
                  </w:p>
                </w:txbxContent>
              </v:textbox>
              <w10:wrap anchorx="page" anchory="page"/>
            </v:shape>
          </w:pict>
        </mc:Fallback>
      </mc:AlternateContent>
    </w:r>
    <w:r w:rsidR="00917C5B" w:rsidRPr="00917C5B">
      <w:rPr>
        <w:rFonts w:ascii="Verdana" w:hAnsi="Verdana"/>
        <w:noProof/>
        <w:sz w:val="17"/>
        <w:szCs w:val="17"/>
      </w:rPr>
      <w:drawing>
        <wp:anchor distT="0" distB="0" distL="114300" distR="114300" simplePos="0" relativeHeight="251658240" behindDoc="1" locked="0" layoutInCell="1" allowOverlap="1" wp14:anchorId="20EB7935" wp14:editId="0495A13A">
          <wp:simplePos x="0" y="0"/>
          <wp:positionH relativeFrom="column">
            <wp:posOffset>4927600</wp:posOffset>
          </wp:positionH>
          <wp:positionV relativeFrom="paragraph">
            <wp:posOffset>469265</wp:posOffset>
          </wp:positionV>
          <wp:extent cx="1375410" cy="444500"/>
          <wp:effectExtent l="0" t="0" r="0" b="0"/>
          <wp:wrapTight wrapText="bothSides">
            <wp:wrapPolygon edited="0">
              <wp:start x="0" y="0"/>
              <wp:lineTo x="0" y="20366"/>
              <wp:lineTo x="21241" y="20366"/>
              <wp:lineTo x="21241" y="0"/>
              <wp:lineTo x="0" y="0"/>
            </wp:wrapPolygon>
          </wp:wrapTight>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a:stretch/>
                </pic:blipFill>
                <pic:spPr>
                  <a:xfrm>
                    <a:off x="0" y="0"/>
                    <a:ext cx="1375410" cy="4445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9801" w14:textId="23EA62DE" w:rsidR="00E70BC2" w:rsidRDefault="009C5EA5">
    <w:pPr>
      <w:pStyle w:val="Header"/>
    </w:pPr>
    <w:r>
      <w:rPr>
        <w:noProof/>
      </w:rPr>
      <mc:AlternateContent>
        <mc:Choice Requires="wps">
          <w:drawing>
            <wp:anchor distT="0" distB="0" distL="0" distR="0" simplePos="0" relativeHeight="251658241" behindDoc="0" locked="0" layoutInCell="1" allowOverlap="1" wp14:anchorId="71DFAB5F" wp14:editId="7738D394">
              <wp:simplePos x="635" y="635"/>
              <wp:positionH relativeFrom="page">
                <wp:align>left</wp:align>
              </wp:positionH>
              <wp:positionV relativeFrom="page">
                <wp:align>top</wp:align>
              </wp:positionV>
              <wp:extent cx="1056005" cy="357505"/>
              <wp:effectExtent l="0" t="0" r="10795" b="4445"/>
              <wp:wrapNone/>
              <wp:docPr id="2024725172" name="Text Box 1"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005" cy="357505"/>
                      </a:xfrm>
                      <a:prstGeom prst="rect">
                        <a:avLst/>
                      </a:prstGeom>
                      <a:noFill/>
                      <a:ln>
                        <a:noFill/>
                      </a:ln>
                    </wps:spPr>
                    <wps:txbx>
                      <w:txbxContent>
                        <w:p w14:paraId="1DD14D3B" w14:textId="018C8A6F" w:rsidR="009C5EA5" w:rsidRPr="009C5EA5" w:rsidRDefault="009C5EA5" w:rsidP="009C5EA5">
                          <w:pPr>
                            <w:spacing w:after="0"/>
                            <w:rPr>
                              <w:rFonts w:ascii="Calibri" w:eastAsia="Calibri" w:hAnsi="Calibri" w:cs="Calibri"/>
                              <w:noProof/>
                              <w:color w:val="7FAA39"/>
                              <w:sz w:val="20"/>
                              <w:szCs w:val="20"/>
                            </w:rPr>
                          </w:pPr>
                          <w:r w:rsidRPr="009C5EA5">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DFAB5F" id="_x0000_t202" coordsize="21600,21600" o:spt="202" path="m,l,21600r21600,l21600,xe">
              <v:stroke joinstyle="miter"/>
              <v:path gradientshapeok="t" o:connecttype="rect"/>
            </v:shapetype>
            <v:shape id="Text Box 1" o:spid="_x0000_s1028" type="#_x0000_t202" alt="| DNB PUBLIC |" style="position:absolute;margin-left:0;margin-top:0;width:83.1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" filled="f" stroked="f">
              <v:textbox style="mso-fit-shape-to-text:t" inset="20pt,15pt,0,0">
                <w:txbxContent>
                  <w:p w14:paraId="1DD14D3B" w14:textId="018C8A6F" w:rsidR="009C5EA5" w:rsidRPr="009C5EA5" w:rsidRDefault="009C5EA5" w:rsidP="009C5EA5">
                    <w:pPr>
                      <w:spacing w:after="0"/>
                      <w:rPr>
                        <w:rFonts w:ascii="Calibri" w:eastAsia="Calibri" w:hAnsi="Calibri" w:cs="Calibri"/>
                        <w:noProof/>
                        <w:color w:val="7FAA39"/>
                        <w:sz w:val="20"/>
                        <w:szCs w:val="20"/>
                      </w:rPr>
                    </w:pPr>
                    <w:r w:rsidRPr="009C5EA5">
                      <w:rPr>
                        <w:rFonts w:ascii="Calibri" w:eastAsia="Calibri" w:hAnsi="Calibri" w:cs="Calibri"/>
                        <w:noProof/>
                        <w:color w:val="7FAA39"/>
                        <w:sz w:val="20"/>
                        <w:szCs w:val="20"/>
                      </w:rPr>
                      <w:t>| DNB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A3B4B"/>
    <w:multiLevelType w:val="multilevel"/>
    <w:tmpl w:val="CB4A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FA61"/>
    <w:multiLevelType w:val="hybridMultilevel"/>
    <w:tmpl w:val="EC1EC20E"/>
    <w:lvl w:ilvl="0" w:tplc="4A6C8AC8">
      <w:start w:val="1"/>
      <w:numFmt w:val="bullet"/>
      <w:lvlText w:val=""/>
      <w:lvlJc w:val="left"/>
      <w:pPr>
        <w:ind w:left="720" w:hanging="360"/>
      </w:pPr>
      <w:rPr>
        <w:rFonts w:ascii="Symbol" w:hAnsi="Symbol" w:hint="default"/>
      </w:rPr>
    </w:lvl>
    <w:lvl w:ilvl="1" w:tplc="AB5C7934">
      <w:start w:val="1"/>
      <w:numFmt w:val="bullet"/>
      <w:lvlText w:val="o"/>
      <w:lvlJc w:val="left"/>
      <w:pPr>
        <w:ind w:left="1440" w:hanging="360"/>
      </w:pPr>
      <w:rPr>
        <w:rFonts w:ascii="Courier New" w:hAnsi="Courier New" w:hint="default"/>
      </w:rPr>
    </w:lvl>
    <w:lvl w:ilvl="2" w:tplc="65A048B6">
      <w:start w:val="1"/>
      <w:numFmt w:val="bullet"/>
      <w:lvlText w:val=""/>
      <w:lvlJc w:val="left"/>
      <w:pPr>
        <w:ind w:left="2160" w:hanging="360"/>
      </w:pPr>
      <w:rPr>
        <w:rFonts w:ascii="Wingdings" w:hAnsi="Wingdings" w:hint="default"/>
      </w:rPr>
    </w:lvl>
    <w:lvl w:ilvl="3" w:tplc="CD7832EE">
      <w:start w:val="1"/>
      <w:numFmt w:val="bullet"/>
      <w:lvlText w:val=""/>
      <w:lvlJc w:val="left"/>
      <w:pPr>
        <w:ind w:left="2880" w:hanging="360"/>
      </w:pPr>
      <w:rPr>
        <w:rFonts w:ascii="Symbol" w:hAnsi="Symbol" w:hint="default"/>
      </w:rPr>
    </w:lvl>
    <w:lvl w:ilvl="4" w:tplc="5A90DEBE">
      <w:start w:val="1"/>
      <w:numFmt w:val="bullet"/>
      <w:lvlText w:val="o"/>
      <w:lvlJc w:val="left"/>
      <w:pPr>
        <w:ind w:left="3600" w:hanging="360"/>
      </w:pPr>
      <w:rPr>
        <w:rFonts w:ascii="Courier New" w:hAnsi="Courier New" w:hint="default"/>
      </w:rPr>
    </w:lvl>
    <w:lvl w:ilvl="5" w:tplc="D8363208">
      <w:start w:val="1"/>
      <w:numFmt w:val="bullet"/>
      <w:lvlText w:val=""/>
      <w:lvlJc w:val="left"/>
      <w:pPr>
        <w:ind w:left="4320" w:hanging="360"/>
      </w:pPr>
      <w:rPr>
        <w:rFonts w:ascii="Wingdings" w:hAnsi="Wingdings" w:hint="default"/>
      </w:rPr>
    </w:lvl>
    <w:lvl w:ilvl="6" w:tplc="DBF86402">
      <w:start w:val="1"/>
      <w:numFmt w:val="bullet"/>
      <w:lvlText w:val=""/>
      <w:lvlJc w:val="left"/>
      <w:pPr>
        <w:ind w:left="5040" w:hanging="360"/>
      </w:pPr>
      <w:rPr>
        <w:rFonts w:ascii="Symbol" w:hAnsi="Symbol" w:hint="default"/>
      </w:rPr>
    </w:lvl>
    <w:lvl w:ilvl="7" w:tplc="3030F5E4">
      <w:start w:val="1"/>
      <w:numFmt w:val="bullet"/>
      <w:lvlText w:val="o"/>
      <w:lvlJc w:val="left"/>
      <w:pPr>
        <w:ind w:left="5760" w:hanging="360"/>
      </w:pPr>
      <w:rPr>
        <w:rFonts w:ascii="Courier New" w:hAnsi="Courier New" w:hint="default"/>
      </w:rPr>
    </w:lvl>
    <w:lvl w:ilvl="8" w:tplc="AE4E6B4A">
      <w:start w:val="1"/>
      <w:numFmt w:val="bullet"/>
      <w:lvlText w:val=""/>
      <w:lvlJc w:val="left"/>
      <w:pPr>
        <w:ind w:left="6480" w:hanging="360"/>
      </w:pPr>
      <w:rPr>
        <w:rFonts w:ascii="Wingdings" w:hAnsi="Wingdings" w:hint="default"/>
      </w:rPr>
    </w:lvl>
  </w:abstractNum>
  <w:abstractNum w:abstractNumId="2" w15:restartNumberingAfterBreak="0">
    <w:nsid w:val="366E99A4"/>
    <w:multiLevelType w:val="hybridMultilevel"/>
    <w:tmpl w:val="9EA0CCD2"/>
    <w:lvl w:ilvl="0" w:tplc="1584BF16">
      <w:start w:val="1"/>
      <w:numFmt w:val="bullet"/>
      <w:lvlText w:val=""/>
      <w:lvlJc w:val="left"/>
      <w:pPr>
        <w:ind w:left="720" w:hanging="360"/>
      </w:pPr>
      <w:rPr>
        <w:rFonts w:ascii="Symbol" w:hAnsi="Symbol" w:hint="default"/>
      </w:rPr>
    </w:lvl>
    <w:lvl w:ilvl="1" w:tplc="39329A5E">
      <w:start w:val="1"/>
      <w:numFmt w:val="bullet"/>
      <w:lvlText w:val="o"/>
      <w:lvlJc w:val="left"/>
      <w:pPr>
        <w:ind w:left="1440" w:hanging="360"/>
      </w:pPr>
      <w:rPr>
        <w:rFonts w:ascii="Courier New" w:hAnsi="Courier New" w:hint="default"/>
      </w:rPr>
    </w:lvl>
    <w:lvl w:ilvl="2" w:tplc="A17ECE64">
      <w:start w:val="1"/>
      <w:numFmt w:val="bullet"/>
      <w:lvlText w:val=""/>
      <w:lvlJc w:val="left"/>
      <w:pPr>
        <w:ind w:left="2160" w:hanging="360"/>
      </w:pPr>
      <w:rPr>
        <w:rFonts w:ascii="Wingdings" w:hAnsi="Wingdings" w:hint="default"/>
      </w:rPr>
    </w:lvl>
    <w:lvl w:ilvl="3" w:tplc="4B985534">
      <w:start w:val="1"/>
      <w:numFmt w:val="bullet"/>
      <w:lvlText w:val=""/>
      <w:lvlJc w:val="left"/>
      <w:pPr>
        <w:ind w:left="2880" w:hanging="360"/>
      </w:pPr>
      <w:rPr>
        <w:rFonts w:ascii="Symbol" w:hAnsi="Symbol" w:hint="default"/>
      </w:rPr>
    </w:lvl>
    <w:lvl w:ilvl="4" w:tplc="45704F84">
      <w:start w:val="1"/>
      <w:numFmt w:val="bullet"/>
      <w:lvlText w:val="o"/>
      <w:lvlJc w:val="left"/>
      <w:pPr>
        <w:ind w:left="3600" w:hanging="360"/>
      </w:pPr>
      <w:rPr>
        <w:rFonts w:ascii="Courier New" w:hAnsi="Courier New" w:hint="default"/>
      </w:rPr>
    </w:lvl>
    <w:lvl w:ilvl="5" w:tplc="CCA8F5E4">
      <w:start w:val="1"/>
      <w:numFmt w:val="bullet"/>
      <w:lvlText w:val=""/>
      <w:lvlJc w:val="left"/>
      <w:pPr>
        <w:ind w:left="4320" w:hanging="360"/>
      </w:pPr>
      <w:rPr>
        <w:rFonts w:ascii="Wingdings" w:hAnsi="Wingdings" w:hint="default"/>
      </w:rPr>
    </w:lvl>
    <w:lvl w:ilvl="6" w:tplc="B838C44A">
      <w:start w:val="1"/>
      <w:numFmt w:val="bullet"/>
      <w:lvlText w:val=""/>
      <w:lvlJc w:val="left"/>
      <w:pPr>
        <w:ind w:left="5040" w:hanging="360"/>
      </w:pPr>
      <w:rPr>
        <w:rFonts w:ascii="Symbol" w:hAnsi="Symbol" w:hint="default"/>
      </w:rPr>
    </w:lvl>
    <w:lvl w:ilvl="7" w:tplc="CFE05F10">
      <w:start w:val="1"/>
      <w:numFmt w:val="bullet"/>
      <w:lvlText w:val="o"/>
      <w:lvlJc w:val="left"/>
      <w:pPr>
        <w:ind w:left="5760" w:hanging="360"/>
      </w:pPr>
      <w:rPr>
        <w:rFonts w:ascii="Courier New" w:hAnsi="Courier New" w:hint="default"/>
      </w:rPr>
    </w:lvl>
    <w:lvl w:ilvl="8" w:tplc="61FEB652">
      <w:start w:val="1"/>
      <w:numFmt w:val="bullet"/>
      <w:lvlText w:val=""/>
      <w:lvlJc w:val="left"/>
      <w:pPr>
        <w:ind w:left="6480" w:hanging="360"/>
      </w:pPr>
      <w:rPr>
        <w:rFonts w:ascii="Wingdings" w:hAnsi="Wingdings" w:hint="default"/>
      </w:rPr>
    </w:lvl>
  </w:abstractNum>
  <w:abstractNum w:abstractNumId="3" w15:restartNumberingAfterBreak="0">
    <w:nsid w:val="43572647"/>
    <w:multiLevelType w:val="multilevel"/>
    <w:tmpl w:val="6158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D5083"/>
    <w:multiLevelType w:val="multilevel"/>
    <w:tmpl w:val="D32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83AB5"/>
    <w:multiLevelType w:val="multilevel"/>
    <w:tmpl w:val="E6F4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296BF"/>
    <w:multiLevelType w:val="hybridMultilevel"/>
    <w:tmpl w:val="FD02CC8A"/>
    <w:lvl w:ilvl="0" w:tplc="55D07014">
      <w:start w:val="1"/>
      <w:numFmt w:val="bullet"/>
      <w:lvlText w:val="·"/>
      <w:lvlJc w:val="left"/>
      <w:pPr>
        <w:ind w:left="720" w:hanging="360"/>
      </w:pPr>
      <w:rPr>
        <w:rFonts w:ascii="Symbol" w:hAnsi="Symbol" w:hint="default"/>
      </w:rPr>
    </w:lvl>
    <w:lvl w:ilvl="1" w:tplc="0EAE8D2A">
      <w:start w:val="1"/>
      <w:numFmt w:val="bullet"/>
      <w:lvlText w:val="o"/>
      <w:lvlJc w:val="left"/>
      <w:pPr>
        <w:ind w:left="1440" w:hanging="360"/>
      </w:pPr>
      <w:rPr>
        <w:rFonts w:ascii="Courier New" w:hAnsi="Courier New" w:hint="default"/>
      </w:rPr>
    </w:lvl>
    <w:lvl w:ilvl="2" w:tplc="F54864AA">
      <w:start w:val="1"/>
      <w:numFmt w:val="bullet"/>
      <w:lvlText w:val=""/>
      <w:lvlJc w:val="left"/>
      <w:pPr>
        <w:ind w:left="2160" w:hanging="360"/>
      </w:pPr>
      <w:rPr>
        <w:rFonts w:ascii="Wingdings" w:hAnsi="Wingdings" w:hint="default"/>
      </w:rPr>
    </w:lvl>
    <w:lvl w:ilvl="3" w:tplc="4A6EE768">
      <w:start w:val="1"/>
      <w:numFmt w:val="bullet"/>
      <w:lvlText w:val=""/>
      <w:lvlJc w:val="left"/>
      <w:pPr>
        <w:ind w:left="2880" w:hanging="360"/>
      </w:pPr>
      <w:rPr>
        <w:rFonts w:ascii="Symbol" w:hAnsi="Symbol" w:hint="default"/>
      </w:rPr>
    </w:lvl>
    <w:lvl w:ilvl="4" w:tplc="1C52D526">
      <w:start w:val="1"/>
      <w:numFmt w:val="bullet"/>
      <w:lvlText w:val="o"/>
      <w:lvlJc w:val="left"/>
      <w:pPr>
        <w:ind w:left="3600" w:hanging="360"/>
      </w:pPr>
      <w:rPr>
        <w:rFonts w:ascii="Courier New" w:hAnsi="Courier New" w:hint="default"/>
      </w:rPr>
    </w:lvl>
    <w:lvl w:ilvl="5" w:tplc="C48CDFB6">
      <w:start w:val="1"/>
      <w:numFmt w:val="bullet"/>
      <w:lvlText w:val=""/>
      <w:lvlJc w:val="left"/>
      <w:pPr>
        <w:ind w:left="4320" w:hanging="360"/>
      </w:pPr>
      <w:rPr>
        <w:rFonts w:ascii="Wingdings" w:hAnsi="Wingdings" w:hint="default"/>
      </w:rPr>
    </w:lvl>
    <w:lvl w:ilvl="6" w:tplc="FBD83468">
      <w:start w:val="1"/>
      <w:numFmt w:val="bullet"/>
      <w:lvlText w:val=""/>
      <w:lvlJc w:val="left"/>
      <w:pPr>
        <w:ind w:left="5040" w:hanging="360"/>
      </w:pPr>
      <w:rPr>
        <w:rFonts w:ascii="Symbol" w:hAnsi="Symbol" w:hint="default"/>
      </w:rPr>
    </w:lvl>
    <w:lvl w:ilvl="7" w:tplc="060653DE">
      <w:start w:val="1"/>
      <w:numFmt w:val="bullet"/>
      <w:lvlText w:val="o"/>
      <w:lvlJc w:val="left"/>
      <w:pPr>
        <w:ind w:left="5760" w:hanging="360"/>
      </w:pPr>
      <w:rPr>
        <w:rFonts w:ascii="Courier New" w:hAnsi="Courier New" w:hint="default"/>
      </w:rPr>
    </w:lvl>
    <w:lvl w:ilvl="8" w:tplc="F40CFA18">
      <w:start w:val="1"/>
      <w:numFmt w:val="bullet"/>
      <w:lvlText w:val=""/>
      <w:lvlJc w:val="left"/>
      <w:pPr>
        <w:ind w:left="6480" w:hanging="360"/>
      </w:pPr>
      <w:rPr>
        <w:rFonts w:ascii="Wingdings" w:hAnsi="Wingdings" w:hint="default"/>
      </w:rPr>
    </w:lvl>
  </w:abstractNum>
  <w:abstractNum w:abstractNumId="7" w15:restartNumberingAfterBreak="0">
    <w:nsid w:val="645F52FE"/>
    <w:multiLevelType w:val="multilevel"/>
    <w:tmpl w:val="6568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918C6"/>
    <w:multiLevelType w:val="hybridMultilevel"/>
    <w:tmpl w:val="46BE55C8"/>
    <w:lvl w:ilvl="0" w:tplc="6220BF8A">
      <w:start w:val="1"/>
      <w:numFmt w:val="bullet"/>
      <w:lvlText w:val=""/>
      <w:lvlJc w:val="left"/>
      <w:pPr>
        <w:ind w:left="720" w:hanging="360"/>
      </w:pPr>
      <w:rPr>
        <w:rFonts w:ascii="Symbol" w:hAnsi="Symbol" w:hint="default"/>
      </w:rPr>
    </w:lvl>
    <w:lvl w:ilvl="1" w:tplc="B1C0C5D4">
      <w:start w:val="1"/>
      <w:numFmt w:val="bullet"/>
      <w:lvlText w:val="o"/>
      <w:lvlJc w:val="left"/>
      <w:pPr>
        <w:ind w:left="1440" w:hanging="360"/>
      </w:pPr>
      <w:rPr>
        <w:rFonts w:ascii="Courier New" w:hAnsi="Courier New" w:hint="default"/>
      </w:rPr>
    </w:lvl>
    <w:lvl w:ilvl="2" w:tplc="DF10F534">
      <w:start w:val="1"/>
      <w:numFmt w:val="bullet"/>
      <w:lvlText w:val=""/>
      <w:lvlJc w:val="left"/>
      <w:pPr>
        <w:ind w:left="2160" w:hanging="360"/>
      </w:pPr>
      <w:rPr>
        <w:rFonts w:ascii="Wingdings" w:hAnsi="Wingdings" w:hint="default"/>
      </w:rPr>
    </w:lvl>
    <w:lvl w:ilvl="3" w:tplc="50F67752">
      <w:start w:val="1"/>
      <w:numFmt w:val="bullet"/>
      <w:lvlText w:val=""/>
      <w:lvlJc w:val="left"/>
      <w:pPr>
        <w:ind w:left="2880" w:hanging="360"/>
      </w:pPr>
      <w:rPr>
        <w:rFonts w:ascii="Symbol" w:hAnsi="Symbol" w:hint="default"/>
      </w:rPr>
    </w:lvl>
    <w:lvl w:ilvl="4" w:tplc="23B2CB6E">
      <w:start w:val="1"/>
      <w:numFmt w:val="bullet"/>
      <w:lvlText w:val="o"/>
      <w:lvlJc w:val="left"/>
      <w:pPr>
        <w:ind w:left="3600" w:hanging="360"/>
      </w:pPr>
      <w:rPr>
        <w:rFonts w:ascii="Courier New" w:hAnsi="Courier New" w:hint="default"/>
      </w:rPr>
    </w:lvl>
    <w:lvl w:ilvl="5" w:tplc="DBF4B9EE">
      <w:start w:val="1"/>
      <w:numFmt w:val="bullet"/>
      <w:lvlText w:val=""/>
      <w:lvlJc w:val="left"/>
      <w:pPr>
        <w:ind w:left="4320" w:hanging="360"/>
      </w:pPr>
      <w:rPr>
        <w:rFonts w:ascii="Wingdings" w:hAnsi="Wingdings" w:hint="default"/>
      </w:rPr>
    </w:lvl>
    <w:lvl w:ilvl="6" w:tplc="6F0690C8">
      <w:start w:val="1"/>
      <w:numFmt w:val="bullet"/>
      <w:lvlText w:val=""/>
      <w:lvlJc w:val="left"/>
      <w:pPr>
        <w:ind w:left="5040" w:hanging="360"/>
      </w:pPr>
      <w:rPr>
        <w:rFonts w:ascii="Symbol" w:hAnsi="Symbol" w:hint="default"/>
      </w:rPr>
    </w:lvl>
    <w:lvl w:ilvl="7" w:tplc="CA769124">
      <w:start w:val="1"/>
      <w:numFmt w:val="bullet"/>
      <w:lvlText w:val="o"/>
      <w:lvlJc w:val="left"/>
      <w:pPr>
        <w:ind w:left="5760" w:hanging="360"/>
      </w:pPr>
      <w:rPr>
        <w:rFonts w:ascii="Courier New" w:hAnsi="Courier New" w:hint="default"/>
      </w:rPr>
    </w:lvl>
    <w:lvl w:ilvl="8" w:tplc="ABE064B6">
      <w:start w:val="1"/>
      <w:numFmt w:val="bullet"/>
      <w:lvlText w:val=""/>
      <w:lvlJc w:val="left"/>
      <w:pPr>
        <w:ind w:left="6480" w:hanging="360"/>
      </w:pPr>
      <w:rPr>
        <w:rFonts w:ascii="Wingdings" w:hAnsi="Wingdings" w:hint="default"/>
      </w:rPr>
    </w:lvl>
  </w:abstractNum>
  <w:abstractNum w:abstractNumId="9" w15:restartNumberingAfterBreak="0">
    <w:nsid w:val="75A87D0A"/>
    <w:multiLevelType w:val="multilevel"/>
    <w:tmpl w:val="9912CA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9A2A95"/>
    <w:multiLevelType w:val="hybridMultilevel"/>
    <w:tmpl w:val="FBEE5D44"/>
    <w:lvl w:ilvl="0" w:tplc="842E6C12">
      <w:start w:val="1"/>
      <w:numFmt w:val="bullet"/>
      <w:lvlText w:val="·"/>
      <w:lvlJc w:val="left"/>
      <w:pPr>
        <w:ind w:left="720" w:hanging="360"/>
      </w:pPr>
      <w:rPr>
        <w:rFonts w:ascii="Symbol" w:hAnsi="Symbol" w:hint="default"/>
      </w:rPr>
    </w:lvl>
    <w:lvl w:ilvl="1" w:tplc="4C3047FA">
      <w:start w:val="1"/>
      <w:numFmt w:val="bullet"/>
      <w:lvlText w:val="o"/>
      <w:lvlJc w:val="left"/>
      <w:pPr>
        <w:ind w:left="1440" w:hanging="360"/>
      </w:pPr>
      <w:rPr>
        <w:rFonts w:ascii="Courier New" w:hAnsi="Courier New" w:hint="default"/>
      </w:rPr>
    </w:lvl>
    <w:lvl w:ilvl="2" w:tplc="A4CCA9A4">
      <w:start w:val="1"/>
      <w:numFmt w:val="bullet"/>
      <w:lvlText w:val=""/>
      <w:lvlJc w:val="left"/>
      <w:pPr>
        <w:ind w:left="2160" w:hanging="360"/>
      </w:pPr>
      <w:rPr>
        <w:rFonts w:ascii="Wingdings" w:hAnsi="Wingdings" w:hint="default"/>
      </w:rPr>
    </w:lvl>
    <w:lvl w:ilvl="3" w:tplc="7BB0B1A8">
      <w:start w:val="1"/>
      <w:numFmt w:val="bullet"/>
      <w:lvlText w:val=""/>
      <w:lvlJc w:val="left"/>
      <w:pPr>
        <w:ind w:left="2880" w:hanging="360"/>
      </w:pPr>
      <w:rPr>
        <w:rFonts w:ascii="Symbol" w:hAnsi="Symbol" w:hint="default"/>
      </w:rPr>
    </w:lvl>
    <w:lvl w:ilvl="4" w:tplc="FF6A508C">
      <w:start w:val="1"/>
      <w:numFmt w:val="bullet"/>
      <w:lvlText w:val="o"/>
      <w:lvlJc w:val="left"/>
      <w:pPr>
        <w:ind w:left="3600" w:hanging="360"/>
      </w:pPr>
      <w:rPr>
        <w:rFonts w:ascii="Courier New" w:hAnsi="Courier New" w:hint="default"/>
      </w:rPr>
    </w:lvl>
    <w:lvl w:ilvl="5" w:tplc="6FE8781E">
      <w:start w:val="1"/>
      <w:numFmt w:val="bullet"/>
      <w:lvlText w:val=""/>
      <w:lvlJc w:val="left"/>
      <w:pPr>
        <w:ind w:left="4320" w:hanging="360"/>
      </w:pPr>
      <w:rPr>
        <w:rFonts w:ascii="Wingdings" w:hAnsi="Wingdings" w:hint="default"/>
      </w:rPr>
    </w:lvl>
    <w:lvl w:ilvl="6" w:tplc="7E867E6E">
      <w:start w:val="1"/>
      <w:numFmt w:val="bullet"/>
      <w:lvlText w:val=""/>
      <w:lvlJc w:val="left"/>
      <w:pPr>
        <w:ind w:left="5040" w:hanging="360"/>
      </w:pPr>
      <w:rPr>
        <w:rFonts w:ascii="Symbol" w:hAnsi="Symbol" w:hint="default"/>
      </w:rPr>
    </w:lvl>
    <w:lvl w:ilvl="7" w:tplc="DCB45EF8">
      <w:start w:val="1"/>
      <w:numFmt w:val="bullet"/>
      <w:lvlText w:val="o"/>
      <w:lvlJc w:val="left"/>
      <w:pPr>
        <w:ind w:left="5760" w:hanging="360"/>
      </w:pPr>
      <w:rPr>
        <w:rFonts w:ascii="Courier New" w:hAnsi="Courier New" w:hint="default"/>
      </w:rPr>
    </w:lvl>
    <w:lvl w:ilvl="8" w:tplc="C5586230">
      <w:start w:val="1"/>
      <w:numFmt w:val="bullet"/>
      <w:lvlText w:val=""/>
      <w:lvlJc w:val="left"/>
      <w:pPr>
        <w:ind w:left="6480" w:hanging="360"/>
      </w:pPr>
      <w:rPr>
        <w:rFonts w:ascii="Wingdings" w:hAnsi="Wingdings" w:hint="default"/>
      </w:rPr>
    </w:lvl>
  </w:abstractNum>
  <w:num w:numId="1" w16cid:durableId="352655525">
    <w:abstractNumId w:val="1"/>
  </w:num>
  <w:num w:numId="2" w16cid:durableId="1200245648">
    <w:abstractNumId w:val="2"/>
  </w:num>
  <w:num w:numId="3" w16cid:durableId="945967664">
    <w:abstractNumId w:val="6"/>
  </w:num>
  <w:num w:numId="4" w16cid:durableId="1878465259">
    <w:abstractNumId w:val="10"/>
  </w:num>
  <w:num w:numId="5" w16cid:durableId="1455708430">
    <w:abstractNumId w:val="8"/>
  </w:num>
  <w:num w:numId="6" w16cid:durableId="1216307812">
    <w:abstractNumId w:val="0"/>
  </w:num>
  <w:num w:numId="7" w16cid:durableId="703292943">
    <w:abstractNumId w:val="7"/>
  </w:num>
  <w:num w:numId="8" w16cid:durableId="1457407161">
    <w:abstractNumId w:val="3"/>
  </w:num>
  <w:num w:numId="9" w16cid:durableId="1531525000">
    <w:abstractNumId w:val="9"/>
  </w:num>
  <w:num w:numId="10" w16cid:durableId="1999842555">
    <w:abstractNumId w:val="4"/>
  </w:num>
  <w:num w:numId="11" w16cid:durableId="261108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80"/>
    <w:rsid w:val="00000E71"/>
    <w:rsid w:val="00002860"/>
    <w:rsid w:val="00002DF1"/>
    <w:rsid w:val="00010689"/>
    <w:rsid w:val="00011A57"/>
    <w:rsid w:val="000218AD"/>
    <w:rsid w:val="0002640F"/>
    <w:rsid w:val="0003215B"/>
    <w:rsid w:val="00047966"/>
    <w:rsid w:val="00055A8D"/>
    <w:rsid w:val="00056DCC"/>
    <w:rsid w:val="00062953"/>
    <w:rsid w:val="0006410F"/>
    <w:rsid w:val="00064911"/>
    <w:rsid w:val="00064AAE"/>
    <w:rsid w:val="00067F52"/>
    <w:rsid w:val="000729F9"/>
    <w:rsid w:val="00081A89"/>
    <w:rsid w:val="00084389"/>
    <w:rsid w:val="0009661D"/>
    <w:rsid w:val="00096D98"/>
    <w:rsid w:val="000A4DF4"/>
    <w:rsid w:val="000A5BB4"/>
    <w:rsid w:val="000B15C8"/>
    <w:rsid w:val="000D15BF"/>
    <w:rsid w:val="000D3FD3"/>
    <w:rsid w:val="000E64FB"/>
    <w:rsid w:val="000F3EA6"/>
    <w:rsid w:val="000F70F1"/>
    <w:rsid w:val="000F7C13"/>
    <w:rsid w:val="00101D6A"/>
    <w:rsid w:val="001048D0"/>
    <w:rsid w:val="001101EA"/>
    <w:rsid w:val="001128B7"/>
    <w:rsid w:val="001131FF"/>
    <w:rsid w:val="00114295"/>
    <w:rsid w:val="001168CA"/>
    <w:rsid w:val="0012201D"/>
    <w:rsid w:val="00127E6F"/>
    <w:rsid w:val="00132A63"/>
    <w:rsid w:val="001455DC"/>
    <w:rsid w:val="00145BD3"/>
    <w:rsid w:val="00146021"/>
    <w:rsid w:val="00147ED8"/>
    <w:rsid w:val="00152F4A"/>
    <w:rsid w:val="00153DA3"/>
    <w:rsid w:val="001579EA"/>
    <w:rsid w:val="00163265"/>
    <w:rsid w:val="0016540E"/>
    <w:rsid w:val="0016D424"/>
    <w:rsid w:val="00172681"/>
    <w:rsid w:val="0017453D"/>
    <w:rsid w:val="00177819"/>
    <w:rsid w:val="001816D3"/>
    <w:rsid w:val="00182986"/>
    <w:rsid w:val="00192D8D"/>
    <w:rsid w:val="00192E03"/>
    <w:rsid w:val="00193791"/>
    <w:rsid w:val="0019400A"/>
    <w:rsid w:val="00194ACE"/>
    <w:rsid w:val="001C4CA5"/>
    <w:rsid w:val="001C7B94"/>
    <w:rsid w:val="001D5D9F"/>
    <w:rsid w:val="001E6DBA"/>
    <w:rsid w:val="001F5220"/>
    <w:rsid w:val="0020095B"/>
    <w:rsid w:val="0022219E"/>
    <w:rsid w:val="00232AD3"/>
    <w:rsid w:val="002352E4"/>
    <w:rsid w:val="002445E7"/>
    <w:rsid w:val="002456F2"/>
    <w:rsid w:val="00247395"/>
    <w:rsid w:val="0026031C"/>
    <w:rsid w:val="00272637"/>
    <w:rsid w:val="0027292D"/>
    <w:rsid w:val="00275154"/>
    <w:rsid w:val="00281709"/>
    <w:rsid w:val="00283319"/>
    <w:rsid w:val="00283CCD"/>
    <w:rsid w:val="00285963"/>
    <w:rsid w:val="00285979"/>
    <w:rsid w:val="00287397"/>
    <w:rsid w:val="002957E4"/>
    <w:rsid w:val="002B2B0C"/>
    <w:rsid w:val="002B7E79"/>
    <w:rsid w:val="002D471C"/>
    <w:rsid w:val="002D4AF1"/>
    <w:rsid w:val="002D504B"/>
    <w:rsid w:val="002D7F9F"/>
    <w:rsid w:val="002E49B0"/>
    <w:rsid w:val="0030495B"/>
    <w:rsid w:val="0031120D"/>
    <w:rsid w:val="00315A2D"/>
    <w:rsid w:val="00320626"/>
    <w:rsid w:val="00322226"/>
    <w:rsid w:val="00327F4B"/>
    <w:rsid w:val="00333B07"/>
    <w:rsid w:val="00342D8F"/>
    <w:rsid w:val="00343BCE"/>
    <w:rsid w:val="00355BCE"/>
    <w:rsid w:val="00360C36"/>
    <w:rsid w:val="0036248E"/>
    <w:rsid w:val="003626BB"/>
    <w:rsid w:val="0037447A"/>
    <w:rsid w:val="00376392"/>
    <w:rsid w:val="00381C37"/>
    <w:rsid w:val="00394B16"/>
    <w:rsid w:val="0039550C"/>
    <w:rsid w:val="003B47FF"/>
    <w:rsid w:val="003C4768"/>
    <w:rsid w:val="003C4EC5"/>
    <w:rsid w:val="003C6F76"/>
    <w:rsid w:val="003D6D4B"/>
    <w:rsid w:val="003E0A5B"/>
    <w:rsid w:val="00405B03"/>
    <w:rsid w:val="0041446C"/>
    <w:rsid w:val="00415ADB"/>
    <w:rsid w:val="00425250"/>
    <w:rsid w:val="00435127"/>
    <w:rsid w:val="00440744"/>
    <w:rsid w:val="004420F8"/>
    <w:rsid w:val="00442B7B"/>
    <w:rsid w:val="004717E6"/>
    <w:rsid w:val="004719F2"/>
    <w:rsid w:val="00485727"/>
    <w:rsid w:val="00486540"/>
    <w:rsid w:val="004879F6"/>
    <w:rsid w:val="00494B61"/>
    <w:rsid w:val="00496EFB"/>
    <w:rsid w:val="004A0212"/>
    <w:rsid w:val="004A0F42"/>
    <w:rsid w:val="004B4477"/>
    <w:rsid w:val="004C5579"/>
    <w:rsid w:val="004D1CD5"/>
    <w:rsid w:val="004D3890"/>
    <w:rsid w:val="004D6C35"/>
    <w:rsid w:val="004D6DC3"/>
    <w:rsid w:val="004E0864"/>
    <w:rsid w:val="004E111B"/>
    <w:rsid w:val="004E150D"/>
    <w:rsid w:val="004F065F"/>
    <w:rsid w:val="004F1484"/>
    <w:rsid w:val="004F3DEE"/>
    <w:rsid w:val="0051259A"/>
    <w:rsid w:val="005313D4"/>
    <w:rsid w:val="00543DCE"/>
    <w:rsid w:val="00553281"/>
    <w:rsid w:val="005539D1"/>
    <w:rsid w:val="00555DF4"/>
    <w:rsid w:val="00563CA7"/>
    <w:rsid w:val="00570F82"/>
    <w:rsid w:val="00574882"/>
    <w:rsid w:val="00575FCF"/>
    <w:rsid w:val="005948F1"/>
    <w:rsid w:val="00595431"/>
    <w:rsid w:val="005A11A5"/>
    <w:rsid w:val="005A78D0"/>
    <w:rsid w:val="005B2F74"/>
    <w:rsid w:val="005C0BC8"/>
    <w:rsid w:val="005C4671"/>
    <w:rsid w:val="005C4DCF"/>
    <w:rsid w:val="005E0519"/>
    <w:rsid w:val="005E1075"/>
    <w:rsid w:val="005E40C3"/>
    <w:rsid w:val="005E4CF6"/>
    <w:rsid w:val="005E50D8"/>
    <w:rsid w:val="005E571A"/>
    <w:rsid w:val="005E5A9D"/>
    <w:rsid w:val="005F6D78"/>
    <w:rsid w:val="006068D2"/>
    <w:rsid w:val="00615A10"/>
    <w:rsid w:val="00617958"/>
    <w:rsid w:val="00622780"/>
    <w:rsid w:val="006260D2"/>
    <w:rsid w:val="006269AE"/>
    <w:rsid w:val="00631077"/>
    <w:rsid w:val="00641112"/>
    <w:rsid w:val="00641A17"/>
    <w:rsid w:val="00641FAF"/>
    <w:rsid w:val="00646182"/>
    <w:rsid w:val="00647F56"/>
    <w:rsid w:val="0065665D"/>
    <w:rsid w:val="00660E7E"/>
    <w:rsid w:val="006615C8"/>
    <w:rsid w:val="0066223C"/>
    <w:rsid w:val="00665F6A"/>
    <w:rsid w:val="00674D29"/>
    <w:rsid w:val="00674E0A"/>
    <w:rsid w:val="0067531A"/>
    <w:rsid w:val="00676D25"/>
    <w:rsid w:val="00684938"/>
    <w:rsid w:val="0069157E"/>
    <w:rsid w:val="00691A47"/>
    <w:rsid w:val="00696CD9"/>
    <w:rsid w:val="006973EF"/>
    <w:rsid w:val="006A3641"/>
    <w:rsid w:val="006A6445"/>
    <w:rsid w:val="006A7B0E"/>
    <w:rsid w:val="006B1351"/>
    <w:rsid w:val="006B2856"/>
    <w:rsid w:val="006B5B21"/>
    <w:rsid w:val="006B73B2"/>
    <w:rsid w:val="006B7D25"/>
    <w:rsid w:val="006C0215"/>
    <w:rsid w:val="006D62AD"/>
    <w:rsid w:val="006D757A"/>
    <w:rsid w:val="006F4379"/>
    <w:rsid w:val="006F61A5"/>
    <w:rsid w:val="006F6FE0"/>
    <w:rsid w:val="007207E7"/>
    <w:rsid w:val="00722645"/>
    <w:rsid w:val="007235AF"/>
    <w:rsid w:val="007333FF"/>
    <w:rsid w:val="00742EB6"/>
    <w:rsid w:val="00747D87"/>
    <w:rsid w:val="007535DE"/>
    <w:rsid w:val="00753805"/>
    <w:rsid w:val="007612BA"/>
    <w:rsid w:val="007626DF"/>
    <w:rsid w:val="00765003"/>
    <w:rsid w:val="00766B55"/>
    <w:rsid w:val="00770AEC"/>
    <w:rsid w:val="00775A38"/>
    <w:rsid w:val="00775BCF"/>
    <w:rsid w:val="00776E98"/>
    <w:rsid w:val="00776FAC"/>
    <w:rsid w:val="0078089F"/>
    <w:rsid w:val="00781CA5"/>
    <w:rsid w:val="007A11A0"/>
    <w:rsid w:val="007A65F1"/>
    <w:rsid w:val="007B29DC"/>
    <w:rsid w:val="007C1674"/>
    <w:rsid w:val="007C2076"/>
    <w:rsid w:val="007C2543"/>
    <w:rsid w:val="007C5211"/>
    <w:rsid w:val="007D06C8"/>
    <w:rsid w:val="007D28FB"/>
    <w:rsid w:val="007E37EE"/>
    <w:rsid w:val="007E40A0"/>
    <w:rsid w:val="007E4EEC"/>
    <w:rsid w:val="007E561D"/>
    <w:rsid w:val="007E597A"/>
    <w:rsid w:val="00806ABC"/>
    <w:rsid w:val="00823A47"/>
    <w:rsid w:val="00824E6E"/>
    <w:rsid w:val="00827877"/>
    <w:rsid w:val="00831934"/>
    <w:rsid w:val="00834134"/>
    <w:rsid w:val="00834AA6"/>
    <w:rsid w:val="00837DA2"/>
    <w:rsid w:val="008409D6"/>
    <w:rsid w:val="00856988"/>
    <w:rsid w:val="0085786E"/>
    <w:rsid w:val="00864A50"/>
    <w:rsid w:val="00872461"/>
    <w:rsid w:val="0087523A"/>
    <w:rsid w:val="00882F9E"/>
    <w:rsid w:val="00892357"/>
    <w:rsid w:val="00893E02"/>
    <w:rsid w:val="008B04EA"/>
    <w:rsid w:val="008B2C38"/>
    <w:rsid w:val="008D08C2"/>
    <w:rsid w:val="008D24BF"/>
    <w:rsid w:val="008D772D"/>
    <w:rsid w:val="008E0028"/>
    <w:rsid w:val="008F5CFB"/>
    <w:rsid w:val="00901D76"/>
    <w:rsid w:val="009023CE"/>
    <w:rsid w:val="0090500B"/>
    <w:rsid w:val="009122D7"/>
    <w:rsid w:val="009176DB"/>
    <w:rsid w:val="00917C5B"/>
    <w:rsid w:val="00940027"/>
    <w:rsid w:val="0095062C"/>
    <w:rsid w:val="00955D56"/>
    <w:rsid w:val="00962614"/>
    <w:rsid w:val="00975629"/>
    <w:rsid w:val="00977AB2"/>
    <w:rsid w:val="00981399"/>
    <w:rsid w:val="00996036"/>
    <w:rsid w:val="00997062"/>
    <w:rsid w:val="009A2C9E"/>
    <w:rsid w:val="009B7106"/>
    <w:rsid w:val="009C378F"/>
    <w:rsid w:val="009C5EA5"/>
    <w:rsid w:val="009D21B1"/>
    <w:rsid w:val="009D663E"/>
    <w:rsid w:val="009D7348"/>
    <w:rsid w:val="009E5AE1"/>
    <w:rsid w:val="009F2C95"/>
    <w:rsid w:val="009F5237"/>
    <w:rsid w:val="009F7CE6"/>
    <w:rsid w:val="00A03C4C"/>
    <w:rsid w:val="00A12A35"/>
    <w:rsid w:val="00A13E44"/>
    <w:rsid w:val="00A20649"/>
    <w:rsid w:val="00A21128"/>
    <w:rsid w:val="00A21754"/>
    <w:rsid w:val="00A24059"/>
    <w:rsid w:val="00A30D08"/>
    <w:rsid w:val="00A3127D"/>
    <w:rsid w:val="00A31D89"/>
    <w:rsid w:val="00A42BCD"/>
    <w:rsid w:val="00A4453D"/>
    <w:rsid w:val="00A445C9"/>
    <w:rsid w:val="00A54562"/>
    <w:rsid w:val="00A61B4B"/>
    <w:rsid w:val="00A7071E"/>
    <w:rsid w:val="00A72D7A"/>
    <w:rsid w:val="00A736F5"/>
    <w:rsid w:val="00A76412"/>
    <w:rsid w:val="00A76AAF"/>
    <w:rsid w:val="00A82C20"/>
    <w:rsid w:val="00A83CAB"/>
    <w:rsid w:val="00A84D3F"/>
    <w:rsid w:val="00A86215"/>
    <w:rsid w:val="00AA1BDD"/>
    <w:rsid w:val="00AA5DAC"/>
    <w:rsid w:val="00AB5AF4"/>
    <w:rsid w:val="00AB5FC4"/>
    <w:rsid w:val="00AD6C41"/>
    <w:rsid w:val="00AD7AF2"/>
    <w:rsid w:val="00AE4D22"/>
    <w:rsid w:val="00AE5F1D"/>
    <w:rsid w:val="00AF4EDA"/>
    <w:rsid w:val="00AF6883"/>
    <w:rsid w:val="00AF735E"/>
    <w:rsid w:val="00AF7872"/>
    <w:rsid w:val="00B01345"/>
    <w:rsid w:val="00B113FC"/>
    <w:rsid w:val="00B1463F"/>
    <w:rsid w:val="00B15129"/>
    <w:rsid w:val="00B1784E"/>
    <w:rsid w:val="00B242BA"/>
    <w:rsid w:val="00B26FBD"/>
    <w:rsid w:val="00B276D7"/>
    <w:rsid w:val="00B30B88"/>
    <w:rsid w:val="00B4100C"/>
    <w:rsid w:val="00B44AA0"/>
    <w:rsid w:val="00B50238"/>
    <w:rsid w:val="00B55624"/>
    <w:rsid w:val="00B61B54"/>
    <w:rsid w:val="00B7542D"/>
    <w:rsid w:val="00B8352E"/>
    <w:rsid w:val="00B8654D"/>
    <w:rsid w:val="00B90E53"/>
    <w:rsid w:val="00B9218F"/>
    <w:rsid w:val="00B97800"/>
    <w:rsid w:val="00BA3D54"/>
    <w:rsid w:val="00BB32BD"/>
    <w:rsid w:val="00BB5B61"/>
    <w:rsid w:val="00BB72FE"/>
    <w:rsid w:val="00BB7A76"/>
    <w:rsid w:val="00BC2F0F"/>
    <w:rsid w:val="00BD67FF"/>
    <w:rsid w:val="00BE32CC"/>
    <w:rsid w:val="00BE5406"/>
    <w:rsid w:val="00BE5777"/>
    <w:rsid w:val="00BF2378"/>
    <w:rsid w:val="00BF4E7F"/>
    <w:rsid w:val="00BF5054"/>
    <w:rsid w:val="00C0331D"/>
    <w:rsid w:val="00C05016"/>
    <w:rsid w:val="00C1570B"/>
    <w:rsid w:val="00C234D5"/>
    <w:rsid w:val="00C41D4E"/>
    <w:rsid w:val="00C439FB"/>
    <w:rsid w:val="00C500D8"/>
    <w:rsid w:val="00C5301A"/>
    <w:rsid w:val="00C56EF4"/>
    <w:rsid w:val="00C64F3C"/>
    <w:rsid w:val="00C705D5"/>
    <w:rsid w:val="00C70B4F"/>
    <w:rsid w:val="00C70F99"/>
    <w:rsid w:val="00C747DF"/>
    <w:rsid w:val="00C84D18"/>
    <w:rsid w:val="00C84DB4"/>
    <w:rsid w:val="00C8676B"/>
    <w:rsid w:val="00C93E05"/>
    <w:rsid w:val="00C9627B"/>
    <w:rsid w:val="00CA425A"/>
    <w:rsid w:val="00CA4768"/>
    <w:rsid w:val="00CB610C"/>
    <w:rsid w:val="00CC2230"/>
    <w:rsid w:val="00CC2A16"/>
    <w:rsid w:val="00CC4CA5"/>
    <w:rsid w:val="00CC7D25"/>
    <w:rsid w:val="00CD39AB"/>
    <w:rsid w:val="00CD4274"/>
    <w:rsid w:val="00CD6628"/>
    <w:rsid w:val="00CD7C3A"/>
    <w:rsid w:val="00CE04AE"/>
    <w:rsid w:val="00CE430A"/>
    <w:rsid w:val="00D03ABB"/>
    <w:rsid w:val="00D10138"/>
    <w:rsid w:val="00D104D3"/>
    <w:rsid w:val="00D1211E"/>
    <w:rsid w:val="00D13414"/>
    <w:rsid w:val="00D209B0"/>
    <w:rsid w:val="00D267A9"/>
    <w:rsid w:val="00D30A11"/>
    <w:rsid w:val="00D42887"/>
    <w:rsid w:val="00D43D9F"/>
    <w:rsid w:val="00D4CED3"/>
    <w:rsid w:val="00D514DB"/>
    <w:rsid w:val="00D53C78"/>
    <w:rsid w:val="00D5584B"/>
    <w:rsid w:val="00D63A6E"/>
    <w:rsid w:val="00D67341"/>
    <w:rsid w:val="00D7232C"/>
    <w:rsid w:val="00D81CB2"/>
    <w:rsid w:val="00D97C3E"/>
    <w:rsid w:val="00D97D67"/>
    <w:rsid w:val="00DA7627"/>
    <w:rsid w:val="00DB0A9F"/>
    <w:rsid w:val="00DB43A4"/>
    <w:rsid w:val="00DC4374"/>
    <w:rsid w:val="00DC474D"/>
    <w:rsid w:val="00DC4BF8"/>
    <w:rsid w:val="00DE5380"/>
    <w:rsid w:val="00DF2751"/>
    <w:rsid w:val="00DF3091"/>
    <w:rsid w:val="00DF3651"/>
    <w:rsid w:val="00DF454C"/>
    <w:rsid w:val="00E00B18"/>
    <w:rsid w:val="00E16297"/>
    <w:rsid w:val="00E23463"/>
    <w:rsid w:val="00E24BF3"/>
    <w:rsid w:val="00E27E90"/>
    <w:rsid w:val="00E33D36"/>
    <w:rsid w:val="00E34FB6"/>
    <w:rsid w:val="00E3662E"/>
    <w:rsid w:val="00E3706D"/>
    <w:rsid w:val="00E427F6"/>
    <w:rsid w:val="00E43C50"/>
    <w:rsid w:val="00E51315"/>
    <w:rsid w:val="00E53163"/>
    <w:rsid w:val="00E64833"/>
    <w:rsid w:val="00E64D57"/>
    <w:rsid w:val="00E70BC2"/>
    <w:rsid w:val="00E8173A"/>
    <w:rsid w:val="00E8398E"/>
    <w:rsid w:val="00E84E5B"/>
    <w:rsid w:val="00E93660"/>
    <w:rsid w:val="00EA16CD"/>
    <w:rsid w:val="00EB1880"/>
    <w:rsid w:val="00EB217E"/>
    <w:rsid w:val="00EB44B6"/>
    <w:rsid w:val="00EB69AC"/>
    <w:rsid w:val="00EC7067"/>
    <w:rsid w:val="00ED25CC"/>
    <w:rsid w:val="00EE4D11"/>
    <w:rsid w:val="00EF2FCC"/>
    <w:rsid w:val="00F063A9"/>
    <w:rsid w:val="00F224BC"/>
    <w:rsid w:val="00F31800"/>
    <w:rsid w:val="00F3242F"/>
    <w:rsid w:val="00F4130B"/>
    <w:rsid w:val="00F44836"/>
    <w:rsid w:val="00F45F77"/>
    <w:rsid w:val="00F475AE"/>
    <w:rsid w:val="00F679A9"/>
    <w:rsid w:val="00F67BA6"/>
    <w:rsid w:val="00F7045C"/>
    <w:rsid w:val="00F76E33"/>
    <w:rsid w:val="00F83211"/>
    <w:rsid w:val="00F85B35"/>
    <w:rsid w:val="00F90C29"/>
    <w:rsid w:val="00F91F52"/>
    <w:rsid w:val="00F9530A"/>
    <w:rsid w:val="00F96369"/>
    <w:rsid w:val="00FA3365"/>
    <w:rsid w:val="00FB4850"/>
    <w:rsid w:val="00FC30C3"/>
    <w:rsid w:val="00FD0536"/>
    <w:rsid w:val="00FD2785"/>
    <w:rsid w:val="00FE21B4"/>
    <w:rsid w:val="00FF10CC"/>
    <w:rsid w:val="0276260C"/>
    <w:rsid w:val="028CF9B9"/>
    <w:rsid w:val="0467B29C"/>
    <w:rsid w:val="04F3AE56"/>
    <w:rsid w:val="0569D14F"/>
    <w:rsid w:val="06DD0455"/>
    <w:rsid w:val="07853A7B"/>
    <w:rsid w:val="0A6F1023"/>
    <w:rsid w:val="0A8A3FCE"/>
    <w:rsid w:val="0AC672F5"/>
    <w:rsid w:val="0D39A00F"/>
    <w:rsid w:val="0F0FA484"/>
    <w:rsid w:val="0F6B510E"/>
    <w:rsid w:val="0FDA8676"/>
    <w:rsid w:val="131287A2"/>
    <w:rsid w:val="170D2517"/>
    <w:rsid w:val="17FD28B3"/>
    <w:rsid w:val="187C2591"/>
    <w:rsid w:val="19F6AF7A"/>
    <w:rsid w:val="19FB38BE"/>
    <w:rsid w:val="1E18BE0E"/>
    <w:rsid w:val="1FCD770C"/>
    <w:rsid w:val="24448D97"/>
    <w:rsid w:val="265CB0AB"/>
    <w:rsid w:val="268C2A50"/>
    <w:rsid w:val="2772A3D3"/>
    <w:rsid w:val="2A29BDB4"/>
    <w:rsid w:val="2ADD0D6B"/>
    <w:rsid w:val="2B1CD41E"/>
    <w:rsid w:val="2E6BD857"/>
    <w:rsid w:val="2E8A9DC0"/>
    <w:rsid w:val="318CD3F4"/>
    <w:rsid w:val="328CFFE4"/>
    <w:rsid w:val="34ED4AC1"/>
    <w:rsid w:val="3531C86C"/>
    <w:rsid w:val="36A4FD9E"/>
    <w:rsid w:val="3B17E26B"/>
    <w:rsid w:val="3CD4E19A"/>
    <w:rsid w:val="3D7E0314"/>
    <w:rsid w:val="3F4F5C52"/>
    <w:rsid w:val="4109689C"/>
    <w:rsid w:val="426D257C"/>
    <w:rsid w:val="42995D2F"/>
    <w:rsid w:val="43FBAD5E"/>
    <w:rsid w:val="446AC1FD"/>
    <w:rsid w:val="460CE879"/>
    <w:rsid w:val="4705B46D"/>
    <w:rsid w:val="4A07542E"/>
    <w:rsid w:val="4B0BAAB9"/>
    <w:rsid w:val="4B6DF610"/>
    <w:rsid w:val="4D63EFDE"/>
    <w:rsid w:val="4D975A04"/>
    <w:rsid w:val="4DEAE2B2"/>
    <w:rsid w:val="4E2AE50F"/>
    <w:rsid w:val="4EC5799F"/>
    <w:rsid w:val="4F4FE5DA"/>
    <w:rsid w:val="51B61EE8"/>
    <w:rsid w:val="52371B8E"/>
    <w:rsid w:val="5583E3CD"/>
    <w:rsid w:val="55A81259"/>
    <w:rsid w:val="56D37F7D"/>
    <w:rsid w:val="56FC946F"/>
    <w:rsid w:val="5789B2F2"/>
    <w:rsid w:val="57ACE063"/>
    <w:rsid w:val="5FC126E4"/>
    <w:rsid w:val="60C3DA6B"/>
    <w:rsid w:val="6120C891"/>
    <w:rsid w:val="61FA4B7A"/>
    <w:rsid w:val="63D8A787"/>
    <w:rsid w:val="64D5C068"/>
    <w:rsid w:val="65D1A26E"/>
    <w:rsid w:val="661DBB3A"/>
    <w:rsid w:val="66D284B9"/>
    <w:rsid w:val="676ADBFF"/>
    <w:rsid w:val="6D1673B2"/>
    <w:rsid w:val="6E03EE68"/>
    <w:rsid w:val="70BA22D6"/>
    <w:rsid w:val="71251707"/>
    <w:rsid w:val="74FA245C"/>
    <w:rsid w:val="759DD496"/>
    <w:rsid w:val="786A9836"/>
    <w:rsid w:val="7BA51442"/>
    <w:rsid w:val="7D656205"/>
    <w:rsid w:val="7DC7ADE1"/>
    <w:rsid w:val="7E3467A9"/>
    <w:rsid w:val="7E412BF9"/>
    <w:rsid w:val="7FF1A4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ACC4"/>
  <w15:chartTrackingRefBased/>
  <w15:docId w15:val="{BDB1B8FE-9FB0-47E5-A7B6-4F5CA6E6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C5B"/>
  </w:style>
  <w:style w:type="paragraph" w:styleId="Footer">
    <w:name w:val="footer"/>
    <w:basedOn w:val="Normal"/>
    <w:link w:val="FooterChar"/>
    <w:uiPriority w:val="99"/>
    <w:unhideWhenUsed/>
    <w:rsid w:val="00917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C5B"/>
  </w:style>
  <w:style w:type="table" w:styleId="TableGrid">
    <w:name w:val="Table Grid"/>
    <w:basedOn w:val="TableNormal"/>
    <w:uiPriority w:val="39"/>
    <w:rsid w:val="00622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C4EC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4EC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3C4EC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1Light-Accent1">
    <w:name w:val="List Table 1 Light Accent 1"/>
    <w:basedOn w:val="TableNormal"/>
    <w:uiPriority w:val="46"/>
    <w:rsid w:val="003C4EC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268C2A50"/>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AA5DAC"/>
    <w:rPr>
      <w:color w:val="605E5C"/>
      <w:shd w:val="clear" w:color="auto" w:fill="E1DFDD"/>
    </w:rPr>
  </w:style>
  <w:style w:type="character" w:styleId="FollowedHyperlink">
    <w:name w:val="FollowedHyperlink"/>
    <w:basedOn w:val="DefaultParagraphFont"/>
    <w:uiPriority w:val="99"/>
    <w:semiHidden/>
    <w:unhideWhenUsed/>
    <w:rsid w:val="00DA7627"/>
    <w:rPr>
      <w:color w:val="954F72" w:themeColor="followedHyperlink"/>
      <w:u w:val="single"/>
    </w:rPr>
  </w:style>
  <w:style w:type="paragraph" w:customStyle="1" w:styleId="vvvstandaard">
    <w:name w:val="vvv_standaard"/>
    <w:basedOn w:val="Normal"/>
    <w:qFormat/>
    <w:rsid w:val="0067531A"/>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after="0" w:line="276" w:lineRule="auto"/>
      <w:jc w:val="both"/>
      <w:textAlignment w:val="baseline"/>
    </w:pPr>
    <w:rPr>
      <w:rFonts w:ascii="Arial" w:eastAsia="Times New Roman" w:hAnsi="Arial" w:cs="Arial"/>
      <w:sz w:val="20"/>
      <w:szCs w:val="20"/>
      <w:lang w:eastAsia="nl-NL"/>
    </w:rPr>
  </w:style>
  <w:style w:type="paragraph" w:styleId="CommentText">
    <w:name w:val="annotation text"/>
    <w:basedOn w:val="Normal"/>
    <w:link w:val="CommentTextChar"/>
    <w:uiPriority w:val="99"/>
    <w:unhideWhenUsed/>
    <w:rsid w:val="00B30B88"/>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after="0" w:line="240" w:lineRule="auto"/>
      <w:textAlignment w:val="baseline"/>
    </w:pPr>
    <w:rPr>
      <w:rFonts w:ascii="Arial" w:eastAsia="Times New Roman" w:hAnsi="Arial" w:cs="Arial"/>
      <w:sz w:val="20"/>
      <w:szCs w:val="20"/>
      <w:lang w:eastAsia="nl-NL"/>
    </w:rPr>
  </w:style>
  <w:style w:type="character" w:customStyle="1" w:styleId="CommentTextChar">
    <w:name w:val="Comment Text Char"/>
    <w:basedOn w:val="DefaultParagraphFont"/>
    <w:link w:val="CommentText"/>
    <w:uiPriority w:val="99"/>
    <w:rsid w:val="00B30B88"/>
    <w:rPr>
      <w:rFonts w:ascii="Arial" w:eastAsia="Times New Roman" w:hAnsi="Arial" w:cs="Arial"/>
      <w:sz w:val="20"/>
      <w:szCs w:val="20"/>
      <w:lang w:eastAsia="nl-NL"/>
    </w:rPr>
  </w:style>
  <w:style w:type="paragraph" w:styleId="Revision">
    <w:name w:val="Revision"/>
    <w:hidden/>
    <w:uiPriority w:val="99"/>
    <w:semiHidden/>
    <w:rsid w:val="004C5579"/>
    <w:pPr>
      <w:spacing w:after="0" w:line="240" w:lineRule="auto"/>
    </w:pPr>
  </w:style>
  <w:style w:type="character" w:styleId="CommentReference">
    <w:name w:val="annotation reference"/>
    <w:basedOn w:val="DefaultParagraphFont"/>
    <w:uiPriority w:val="99"/>
    <w:semiHidden/>
    <w:unhideWhenUsed/>
    <w:rsid w:val="00002DF1"/>
    <w:rPr>
      <w:sz w:val="16"/>
      <w:szCs w:val="16"/>
    </w:rPr>
  </w:style>
  <w:style w:type="paragraph" w:styleId="CommentSubject">
    <w:name w:val="annotation subject"/>
    <w:basedOn w:val="CommentText"/>
    <w:next w:val="CommentText"/>
    <w:link w:val="CommentSubjectChar"/>
    <w:uiPriority w:val="99"/>
    <w:semiHidden/>
    <w:unhideWhenUsed/>
    <w:rsid w:val="00002DF1"/>
    <w:pPr>
      <w:tabs>
        <w:tab w:val="clear" w:pos="567"/>
        <w:tab w:val="clear" w:pos="1134"/>
        <w:tab w:val="clear" w:pos="2268"/>
        <w:tab w:val="clear" w:pos="3402"/>
        <w:tab w:val="clear" w:pos="4536"/>
        <w:tab w:val="clear" w:pos="5670"/>
        <w:tab w:val="clear" w:pos="6804"/>
        <w:tab w:val="clear" w:pos="7938"/>
        <w:tab w:val="clear" w:pos="9072"/>
      </w:tabs>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02DF1"/>
    <w:rPr>
      <w:rFonts w:ascii="Arial" w:eastAsia="Times New Roman" w:hAnsi="Arial"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777">
      <w:bodyDiv w:val="1"/>
      <w:marLeft w:val="0"/>
      <w:marRight w:val="0"/>
      <w:marTop w:val="0"/>
      <w:marBottom w:val="0"/>
      <w:divBdr>
        <w:top w:val="none" w:sz="0" w:space="0" w:color="auto"/>
        <w:left w:val="none" w:sz="0" w:space="0" w:color="auto"/>
        <w:bottom w:val="none" w:sz="0" w:space="0" w:color="auto"/>
        <w:right w:val="none" w:sz="0" w:space="0" w:color="auto"/>
      </w:divBdr>
    </w:div>
    <w:div w:id="247807897">
      <w:bodyDiv w:val="1"/>
      <w:marLeft w:val="0"/>
      <w:marRight w:val="0"/>
      <w:marTop w:val="0"/>
      <w:marBottom w:val="0"/>
      <w:divBdr>
        <w:top w:val="none" w:sz="0" w:space="0" w:color="auto"/>
        <w:left w:val="none" w:sz="0" w:space="0" w:color="auto"/>
        <w:bottom w:val="none" w:sz="0" w:space="0" w:color="auto"/>
        <w:right w:val="none" w:sz="0" w:space="0" w:color="auto"/>
      </w:divBdr>
    </w:div>
    <w:div w:id="307517660">
      <w:bodyDiv w:val="1"/>
      <w:marLeft w:val="0"/>
      <w:marRight w:val="0"/>
      <w:marTop w:val="0"/>
      <w:marBottom w:val="0"/>
      <w:divBdr>
        <w:top w:val="none" w:sz="0" w:space="0" w:color="auto"/>
        <w:left w:val="none" w:sz="0" w:space="0" w:color="auto"/>
        <w:bottom w:val="none" w:sz="0" w:space="0" w:color="auto"/>
        <w:right w:val="none" w:sz="0" w:space="0" w:color="auto"/>
      </w:divBdr>
    </w:div>
    <w:div w:id="626591999">
      <w:bodyDiv w:val="1"/>
      <w:marLeft w:val="0"/>
      <w:marRight w:val="0"/>
      <w:marTop w:val="0"/>
      <w:marBottom w:val="0"/>
      <w:divBdr>
        <w:top w:val="none" w:sz="0" w:space="0" w:color="auto"/>
        <w:left w:val="none" w:sz="0" w:space="0" w:color="auto"/>
        <w:bottom w:val="none" w:sz="0" w:space="0" w:color="auto"/>
        <w:right w:val="none" w:sz="0" w:space="0" w:color="auto"/>
      </w:divBdr>
    </w:div>
    <w:div w:id="681779734">
      <w:bodyDiv w:val="1"/>
      <w:marLeft w:val="0"/>
      <w:marRight w:val="0"/>
      <w:marTop w:val="0"/>
      <w:marBottom w:val="0"/>
      <w:divBdr>
        <w:top w:val="none" w:sz="0" w:space="0" w:color="auto"/>
        <w:left w:val="none" w:sz="0" w:space="0" w:color="auto"/>
        <w:bottom w:val="none" w:sz="0" w:space="0" w:color="auto"/>
        <w:right w:val="none" w:sz="0" w:space="0" w:color="auto"/>
      </w:divBdr>
    </w:div>
    <w:div w:id="744567685">
      <w:bodyDiv w:val="1"/>
      <w:marLeft w:val="0"/>
      <w:marRight w:val="0"/>
      <w:marTop w:val="0"/>
      <w:marBottom w:val="0"/>
      <w:divBdr>
        <w:top w:val="none" w:sz="0" w:space="0" w:color="auto"/>
        <w:left w:val="none" w:sz="0" w:space="0" w:color="auto"/>
        <w:bottom w:val="none" w:sz="0" w:space="0" w:color="auto"/>
        <w:right w:val="none" w:sz="0" w:space="0" w:color="auto"/>
      </w:divBdr>
    </w:div>
    <w:div w:id="861668242">
      <w:bodyDiv w:val="1"/>
      <w:marLeft w:val="0"/>
      <w:marRight w:val="0"/>
      <w:marTop w:val="0"/>
      <w:marBottom w:val="0"/>
      <w:divBdr>
        <w:top w:val="none" w:sz="0" w:space="0" w:color="auto"/>
        <w:left w:val="none" w:sz="0" w:space="0" w:color="auto"/>
        <w:bottom w:val="none" w:sz="0" w:space="0" w:color="auto"/>
        <w:right w:val="none" w:sz="0" w:space="0" w:color="auto"/>
      </w:divBdr>
    </w:div>
    <w:div w:id="1559588492">
      <w:bodyDiv w:val="1"/>
      <w:marLeft w:val="0"/>
      <w:marRight w:val="0"/>
      <w:marTop w:val="0"/>
      <w:marBottom w:val="0"/>
      <w:divBdr>
        <w:top w:val="none" w:sz="0" w:space="0" w:color="auto"/>
        <w:left w:val="none" w:sz="0" w:space="0" w:color="auto"/>
        <w:bottom w:val="none" w:sz="0" w:space="0" w:color="auto"/>
        <w:right w:val="none" w:sz="0" w:space="0" w:color="auto"/>
      </w:divBdr>
    </w:div>
    <w:div w:id="1846820052">
      <w:bodyDiv w:val="1"/>
      <w:marLeft w:val="0"/>
      <w:marRight w:val="0"/>
      <w:marTop w:val="0"/>
      <w:marBottom w:val="0"/>
      <w:divBdr>
        <w:top w:val="none" w:sz="0" w:space="0" w:color="auto"/>
        <w:left w:val="none" w:sz="0" w:space="0" w:color="auto"/>
        <w:bottom w:val="none" w:sz="0" w:space="0" w:color="auto"/>
        <w:right w:val="none" w:sz="0" w:space="0" w:color="auto"/>
      </w:divBdr>
    </w:div>
    <w:div w:id="1939871830">
      <w:bodyDiv w:val="1"/>
      <w:marLeft w:val="0"/>
      <w:marRight w:val="0"/>
      <w:marTop w:val="0"/>
      <w:marBottom w:val="0"/>
      <w:divBdr>
        <w:top w:val="none" w:sz="0" w:space="0" w:color="auto"/>
        <w:left w:val="none" w:sz="0" w:space="0" w:color="auto"/>
        <w:bottom w:val="none" w:sz="0" w:space="0" w:color="auto"/>
        <w:right w:val="none" w:sz="0" w:space="0" w:color="auto"/>
      </w:divBdr>
    </w:div>
    <w:div w:id="20002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6540\AppData\Local\Temp\Templafy\WordVsto\mnin2q1b.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transformationConfigurations":[],"templateName":"Leeg DNB Sjabloon","templateDescription":"","enableDocumentContentUpdater":true,"version":"2.0"}]]></TemplafyTemplateConfiguration>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D087-B712-4025-89BE-4BBFF1CB43FD}">
  <ds:schemaRefs/>
</ds:datastoreItem>
</file>

<file path=customXml/itemProps2.xml><?xml version="1.0" encoding="utf-8"?>
<ds:datastoreItem xmlns:ds="http://schemas.openxmlformats.org/officeDocument/2006/customXml" ds:itemID="{AA1B2BC0-CCF2-4ACC-A35C-89D3622BE4EA}">
  <ds:schemaRefs/>
</ds:datastoreItem>
</file>

<file path=customXml/itemProps3.xml><?xml version="1.0" encoding="utf-8"?>
<ds:datastoreItem xmlns:ds="http://schemas.openxmlformats.org/officeDocument/2006/customXml" ds:itemID="{5B4A8C76-B2A6-4138-BA19-218DB941174D}">
  <ds:schemaRefs>
    <ds:schemaRef ds:uri="http://schemas.openxmlformats.org/officeDocument/2006/bibliography"/>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mnin2q1b</Template>
  <TotalTime>1</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Bonte, G.W.J. (Gerwen) (TV_ECKA)</dc:creator>
  <cp:keywords/>
  <dc:description/>
  <cp:lastModifiedBy>Verschuren, R.M. (Robert) (TV_ECKA)</cp:lastModifiedBy>
  <cp:revision>3</cp:revision>
  <cp:lastPrinted>2025-02-13T11:29:00Z</cp:lastPrinted>
  <dcterms:created xsi:type="dcterms:W3CDTF">2026-03-18T11:56:00Z</dcterms:created>
  <dcterms:modified xsi:type="dcterms:W3CDTF">2026-03-18T11:59:00Z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dnb</vt:lpwstr>
  </property>
  <property fmtid="{D5CDD505-2E9C-101B-9397-08002B2CF9AE}" pid="3" name="TemplafyTemplateId">
    <vt:lpwstr>637902860015518764</vt:lpwstr>
  </property>
  <property fmtid="{D5CDD505-2E9C-101B-9397-08002B2CF9AE}" pid="4" name="TemplafyUserProfileId">
    <vt:lpwstr>859894466954920276</vt:lpwstr>
  </property>
  <property fmtid="{D5CDD505-2E9C-101B-9397-08002B2CF9AE}" pid="5" name="TemplafyFromBlank">
    <vt:bool>true</vt:bool>
  </property>
  <property fmtid="{D5CDD505-2E9C-101B-9397-08002B2CF9AE}" pid="6" name="ClassificationContentMarkingHeaderShapeIds">
    <vt:lpwstr>78aedab4,3b6dbe38,454a45d4</vt:lpwstr>
  </property>
  <property fmtid="{D5CDD505-2E9C-101B-9397-08002B2CF9AE}" pid="7" name="ClassificationContentMarkingHeaderFontProps">
    <vt:lpwstr>#7faa39,10,Calibri</vt:lpwstr>
  </property>
  <property fmtid="{D5CDD505-2E9C-101B-9397-08002B2CF9AE}" pid="8" name="ClassificationContentMarkingHeaderText">
    <vt:lpwstr>| DNB PUBLIC |</vt:lpwstr>
  </property>
</Properties>
</file>