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CE" w:rsidRPr="00075DCE" w:rsidRDefault="00075DCE" w:rsidP="005476A5">
      <w:pPr>
        <w:ind w:right="-1674"/>
        <w:rPr>
          <w:b/>
          <w:sz w:val="18"/>
          <w:lang w:val="en-US"/>
        </w:rPr>
      </w:pPr>
      <w:bookmarkStart w:id="0" w:name="_GoBack"/>
      <w:bookmarkEnd w:id="0"/>
    </w:p>
    <w:p w:rsidR="00075DCE" w:rsidRPr="00075DCE" w:rsidRDefault="00075DCE" w:rsidP="00075DCE">
      <w:pPr>
        <w:pStyle w:val="Header"/>
        <w:jc w:val="center"/>
      </w:pPr>
    </w:p>
    <w:p w:rsidR="00075DCE" w:rsidRPr="00075DCE" w:rsidRDefault="00075DCE" w:rsidP="00075DCE">
      <w:pPr>
        <w:pStyle w:val="Heading2"/>
        <w:tabs>
          <w:tab w:val="num" w:pos="567"/>
        </w:tabs>
        <w:spacing w:before="0" w:line="276" w:lineRule="atLeast"/>
        <w:jc w:val="center"/>
        <w:rPr>
          <w:sz w:val="32"/>
          <w:lang w:val="en-US"/>
        </w:rPr>
      </w:pPr>
      <w:r w:rsidRPr="00075DCE">
        <w:rPr>
          <w:sz w:val="32"/>
          <w:lang w:val="en-US"/>
        </w:rPr>
        <w:t>Highlights Seminar supervision</w:t>
      </w:r>
    </w:p>
    <w:p w:rsidR="00075DCE" w:rsidRPr="00075DCE" w:rsidRDefault="00075DCE" w:rsidP="00075DCE">
      <w:pPr>
        <w:pStyle w:val="Heading2"/>
        <w:tabs>
          <w:tab w:val="num" w:pos="567"/>
        </w:tabs>
        <w:spacing w:before="0" w:line="276" w:lineRule="atLeast"/>
        <w:jc w:val="center"/>
        <w:rPr>
          <w:sz w:val="32"/>
          <w:lang w:val="en-US"/>
        </w:rPr>
      </w:pPr>
      <w:r w:rsidRPr="00075DCE">
        <w:rPr>
          <w:sz w:val="32"/>
          <w:lang w:val="en-US"/>
        </w:rPr>
        <w:t>of crypto service providers</w:t>
      </w:r>
    </w:p>
    <w:p w:rsidR="00075DCE" w:rsidRPr="0001393B" w:rsidRDefault="00E556B4" w:rsidP="00075DCE">
      <w:pPr>
        <w:rPr>
          <w:lang w:val="en-US"/>
        </w:rPr>
      </w:pPr>
      <w:r w:rsidRPr="0001393B">
        <w:rPr>
          <w:rFonts w:asciiTheme="majorHAnsi" w:hAnsiTheme="majorHAnsi"/>
          <w:noProof/>
          <w:color w:val="1226AA"/>
          <w:sz w:val="40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168465</wp:posOffset>
                </wp:positionV>
                <wp:extent cx="6477000" cy="828675"/>
                <wp:effectExtent l="0" t="0" r="0" b="952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28675"/>
                        </a:xfrm>
                        <a:prstGeom prst="rect">
                          <a:avLst/>
                        </a:prstGeom>
                        <a:solidFill>
                          <a:srgbClr val="2D2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EFC" w:rsidRPr="0001393B" w:rsidRDefault="006C6EFC" w:rsidP="006C6EFC">
                            <w:pPr>
                              <w:jc w:val="both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01393B">
                              <w:rPr>
                                <w:color w:val="FFFFFF" w:themeColor="background1"/>
                                <w:lang w:val="en-US"/>
                              </w:rPr>
                              <w:t>On the 8</w:t>
                            </w:r>
                            <w:r w:rsidRPr="0001393B">
                              <w:rPr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01393B">
                              <w:rPr>
                                <w:color w:val="FFFFFF" w:themeColor="background1"/>
                                <w:lang w:val="en-US"/>
                              </w:rPr>
                              <w:t xml:space="preserve"> of November 2019, De Nederlandsche Bank (DNB) organized a seminar about integrity supervision for crypto service providers. 150 interested people attended the seminar and </w:t>
                            </w:r>
                            <w:r w:rsidRPr="0001393B">
                              <w:rPr>
                                <w:rFonts w:cs="Arial"/>
                                <w:color w:val="FFFFFF" w:themeColor="background1"/>
                                <w:lang w:val="en"/>
                              </w:rPr>
                              <w:t xml:space="preserve">contributed to a successful event. </w:t>
                            </w:r>
                            <w:r w:rsidRPr="0001393B">
                              <w:rPr>
                                <w:color w:val="FFFFFF" w:themeColor="background1"/>
                                <w:lang w:val="en-US"/>
                              </w:rPr>
                              <w:t xml:space="preserve">This document provides a summary of the topics that were discussed and references to useful information. </w:t>
                            </w:r>
                            <w:r w:rsidRPr="0001393B">
                              <w:rPr>
                                <w:color w:val="FFFFFF" w:themeColor="background1"/>
                                <w:lang w:val="en"/>
                              </w:rPr>
                              <w:t xml:space="preserve">On our website, </w:t>
                            </w:r>
                            <w:hyperlink r:id="rId8" w:history="1">
                              <w:r w:rsidRPr="0001393B">
                                <w:rPr>
                                  <w:rStyle w:val="Hyperlink"/>
                                  <w:color w:val="FFFFFF" w:themeColor="background1"/>
                                  <w:lang w:val="en-US"/>
                                </w:rPr>
                                <w:t>Open Book Supervision (EN)</w:t>
                              </w:r>
                            </w:hyperlink>
                            <w:r w:rsidRPr="0001393B">
                              <w:rPr>
                                <w:color w:val="FFFFFF" w:themeColor="background1"/>
                                <w:lang w:val="en-US"/>
                              </w:rPr>
                              <w:t xml:space="preserve"> and </w:t>
                            </w:r>
                            <w:hyperlink r:id="rId9" w:history="1">
                              <w:r w:rsidRPr="0001393B">
                                <w:rPr>
                                  <w:rStyle w:val="Hyperlink"/>
                                  <w:color w:val="FFFFFF" w:themeColor="background1"/>
                                  <w:lang w:val="en-US"/>
                                </w:rPr>
                                <w:t>Open Boek Toezicht (NL)</w:t>
                              </w:r>
                            </w:hyperlink>
                            <w:r w:rsidRPr="0001393B">
                              <w:rPr>
                                <w:color w:val="FFFFFF" w:themeColor="background1"/>
                                <w:lang w:val="en-US"/>
                              </w:rPr>
                              <w:t xml:space="preserve"> we provide further information. </w:t>
                            </w:r>
                            <w:r w:rsidR="00187ADB" w:rsidRPr="0001393B">
                              <w:rPr>
                                <w:color w:val="FFFFFF" w:themeColor="background1"/>
                                <w:lang w:val="en-US"/>
                              </w:rPr>
                              <w:t>Y</w:t>
                            </w:r>
                            <w:r w:rsidRPr="0001393B">
                              <w:rPr>
                                <w:color w:val="FFFFFF" w:themeColor="background1"/>
                                <w:lang w:val="en-US"/>
                              </w:rPr>
                              <w:t>ou can reach us via:</w:t>
                            </w:r>
                            <w:r w:rsidR="0001393B" w:rsidRPr="0001393B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hyperlink r:id="rId10" w:history="1">
                              <w:r w:rsidRPr="0001393B">
                                <w:rPr>
                                  <w:rStyle w:val="Hyperlink"/>
                                  <w:color w:val="FFFFFF" w:themeColor="background1"/>
                                  <w:lang w:val="en-US"/>
                                </w:rPr>
                                <w:t>crypto@dnb.nl</w:t>
                              </w:r>
                            </w:hyperlink>
                            <w:r w:rsidRPr="0001393B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:rsidR="006C6EFC" w:rsidRPr="0001393B" w:rsidRDefault="006C6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8" o:spid="_x0000_s1026" type="#_x0000_t202" style="position:absolute;margin-left:-22.7pt;margin-top:13.25pt;width:510pt;height:6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" fillcolor="#2d2166" stroked="f" strokeweight=".5pt">
                <v:textbox>
                  <w:txbxContent>
                    <w:p w:rsidR="006C6EFC" w:rsidRPr="0001393B" w:rsidRDefault="006C6EFC" w:rsidP="006C6EFC">
                      <w:pPr>
                        <w:jc w:val="both"/>
                        <w:rPr>
                          <w:color w:val="FFFFFF" w:themeColor="background1"/>
                          <w:lang w:val="en-US"/>
                        </w:rPr>
                      </w:pPr>
                      <w:r w:rsidRPr="0001393B">
                        <w:rPr>
                          <w:color w:val="FFFFFF" w:themeColor="background1"/>
                          <w:lang w:val="en-US"/>
                        </w:rPr>
                        <w:t>On the 8</w:t>
                      </w:r>
                      <w:r w:rsidRPr="0001393B">
                        <w:rPr>
                          <w:color w:val="FFFFFF" w:themeColor="background1"/>
                          <w:vertAlign w:val="superscript"/>
                          <w:lang w:val="en-US"/>
                        </w:rPr>
                        <w:t>th</w:t>
                      </w:r>
                      <w:r w:rsidRPr="0001393B">
                        <w:rPr>
                          <w:color w:val="FFFFFF" w:themeColor="background1"/>
                          <w:lang w:val="en-US"/>
                        </w:rPr>
                        <w:t xml:space="preserve"> of November 2019, De Nederlandsche Bank (DNB) organized a seminar about integrity supervision for crypto service providers. 150 interested people attended the seminar and </w:t>
                      </w:r>
                      <w:r w:rsidRPr="0001393B">
                        <w:rPr>
                          <w:rFonts w:cs="Arial"/>
                          <w:color w:val="FFFFFF" w:themeColor="background1"/>
                          <w:lang w:val="en"/>
                        </w:rPr>
                        <w:t xml:space="preserve">contributed to a successful event. </w:t>
                      </w:r>
                      <w:r w:rsidRPr="0001393B">
                        <w:rPr>
                          <w:color w:val="FFFFFF" w:themeColor="background1"/>
                          <w:lang w:val="en-US"/>
                        </w:rPr>
                        <w:t xml:space="preserve">This document provides a summary of the topics that were discussed and references to useful information. </w:t>
                      </w:r>
                      <w:r w:rsidRPr="0001393B">
                        <w:rPr>
                          <w:color w:val="FFFFFF" w:themeColor="background1"/>
                          <w:lang w:val="en"/>
                        </w:rPr>
                        <w:t xml:space="preserve">On our website, </w:t>
                      </w:r>
                      <w:hyperlink r:id="rId11" w:history="1">
                        <w:r w:rsidRPr="0001393B">
                          <w:rPr>
                            <w:rStyle w:val="Hyperlink"/>
                            <w:color w:val="FFFFFF" w:themeColor="background1"/>
                            <w:lang w:val="en-US"/>
                          </w:rPr>
                          <w:t>Open Book Supervision (EN)</w:t>
                        </w:r>
                      </w:hyperlink>
                      <w:r w:rsidRPr="0001393B">
                        <w:rPr>
                          <w:color w:val="FFFFFF" w:themeColor="background1"/>
                          <w:lang w:val="en-US"/>
                        </w:rPr>
                        <w:t xml:space="preserve"> and </w:t>
                      </w:r>
                      <w:hyperlink r:id="rId12" w:history="1">
                        <w:r w:rsidRPr="0001393B">
                          <w:rPr>
                            <w:rStyle w:val="Hyperlink"/>
                            <w:color w:val="FFFFFF" w:themeColor="background1"/>
                            <w:lang w:val="en-US"/>
                          </w:rPr>
                          <w:t>Open Boek Toezicht (NL)</w:t>
                        </w:r>
                      </w:hyperlink>
                      <w:r w:rsidRPr="0001393B">
                        <w:rPr>
                          <w:color w:val="FFFFFF" w:themeColor="background1"/>
                          <w:lang w:val="en-US"/>
                        </w:rPr>
                        <w:t xml:space="preserve"> we provide further information. </w:t>
                      </w:r>
                      <w:r w:rsidR="00187ADB" w:rsidRPr="0001393B">
                        <w:rPr>
                          <w:color w:val="FFFFFF" w:themeColor="background1"/>
                          <w:lang w:val="en-US"/>
                        </w:rPr>
                        <w:t>Y</w:t>
                      </w:r>
                      <w:r w:rsidRPr="0001393B">
                        <w:rPr>
                          <w:color w:val="FFFFFF" w:themeColor="background1"/>
                          <w:lang w:val="en-US"/>
                        </w:rPr>
                        <w:t>ou can reach us via:</w:t>
                      </w:r>
                      <w:r w:rsidR="0001393B" w:rsidRPr="0001393B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hyperlink r:id="rId13" w:history="1">
                        <w:r w:rsidRPr="0001393B">
                          <w:rPr>
                            <w:rStyle w:val="Hyperlink"/>
                            <w:color w:val="FFFFFF" w:themeColor="background1"/>
                            <w:lang w:val="en-US"/>
                          </w:rPr>
                          <w:t>crypto@dnb.nl</w:t>
                        </w:r>
                      </w:hyperlink>
                      <w:r w:rsidRPr="0001393B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:rsidR="006C6EFC" w:rsidRPr="0001393B" w:rsidRDefault="006C6EFC"/>
                  </w:txbxContent>
                </v:textbox>
              </v:shape>
            </w:pict>
          </mc:Fallback>
        </mc:AlternateContent>
      </w:r>
      <w:r w:rsidR="00075DCE">
        <w:rPr>
          <w:lang w:val="en-US"/>
        </w:rPr>
        <w:tab/>
      </w:r>
      <w:r w:rsidR="00075DCE">
        <w:rPr>
          <w:lang w:val="en-US"/>
        </w:rPr>
        <w:tab/>
      </w:r>
      <w:r w:rsidR="00075DCE">
        <w:rPr>
          <w:lang w:val="en-US"/>
        </w:rPr>
        <w:tab/>
      </w:r>
      <w:r w:rsidR="00075DCE">
        <w:rPr>
          <w:lang w:val="en-US"/>
        </w:rPr>
        <w:tab/>
      </w:r>
      <w:r w:rsidR="00075DCE">
        <w:rPr>
          <w:lang w:val="en-US"/>
        </w:rPr>
        <w:tab/>
      </w:r>
    </w:p>
    <w:p w:rsidR="006C6EFC" w:rsidRDefault="006C6EFC" w:rsidP="005476A5">
      <w:pPr>
        <w:ind w:right="-1674"/>
        <w:rPr>
          <w:b/>
          <w:sz w:val="18"/>
          <w:lang w:val="en-US"/>
        </w:rPr>
      </w:pPr>
    </w:p>
    <w:p w:rsidR="006C6EFC" w:rsidRDefault="006C6EFC" w:rsidP="005476A5">
      <w:pPr>
        <w:ind w:right="-1674"/>
        <w:rPr>
          <w:b/>
          <w:sz w:val="18"/>
          <w:lang w:val="en-US"/>
        </w:rPr>
      </w:pPr>
    </w:p>
    <w:p w:rsidR="006C6EFC" w:rsidRDefault="006C6EFC" w:rsidP="005476A5">
      <w:pPr>
        <w:ind w:right="-1674"/>
        <w:rPr>
          <w:b/>
          <w:sz w:val="18"/>
          <w:lang w:val="en-US"/>
        </w:rPr>
      </w:pPr>
    </w:p>
    <w:p w:rsidR="00075DCE" w:rsidRDefault="00075DCE" w:rsidP="005476A5">
      <w:pPr>
        <w:ind w:right="-1674"/>
        <w:rPr>
          <w:b/>
          <w:sz w:val="18"/>
          <w:lang w:val="en-US"/>
        </w:rPr>
      </w:pPr>
    </w:p>
    <w:p w:rsidR="006C6EFC" w:rsidRPr="00540AB7" w:rsidRDefault="006C6EFC" w:rsidP="005476A5">
      <w:pPr>
        <w:ind w:right="-1674"/>
        <w:rPr>
          <w:b/>
          <w:sz w:val="18"/>
          <w:lang w:val="en-US"/>
        </w:rPr>
      </w:pPr>
    </w:p>
    <w:p w:rsidR="00472C24" w:rsidRPr="00540AB7" w:rsidRDefault="00472C24" w:rsidP="00F90D70">
      <w:pPr>
        <w:rPr>
          <w:sz w:val="18"/>
          <w:lang w:val="en-US"/>
        </w:rPr>
      </w:pPr>
    </w:p>
    <w:p w:rsidR="005476A5" w:rsidRDefault="00B37397" w:rsidP="00075DCE">
      <w:pPr>
        <w:tabs>
          <w:tab w:val="right" w:pos="8873"/>
        </w:tabs>
        <w:jc w:val="both"/>
        <w:rPr>
          <w:sz w:val="18"/>
          <w:lang w:val="en-US"/>
        </w:rPr>
      </w:pPr>
      <w:r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43F06" wp14:editId="4E729C20">
                <wp:simplePos x="0" y="0"/>
                <wp:positionH relativeFrom="margin">
                  <wp:posOffset>-277495</wp:posOffset>
                </wp:positionH>
                <wp:positionV relativeFrom="paragraph">
                  <wp:posOffset>133350</wp:posOffset>
                </wp:positionV>
                <wp:extent cx="2976245" cy="3408218"/>
                <wp:effectExtent l="0" t="0" r="0" b="190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3408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AB7" w:rsidRPr="0001393B" w:rsidRDefault="00184709" w:rsidP="00540AB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1393B">
                              <w:rPr>
                                <w:b/>
                                <w:lang w:val="en-US"/>
                              </w:rPr>
                              <w:t xml:space="preserve">Which crypto service providers will be registered? </w:t>
                            </w:r>
                          </w:p>
                          <w:p w:rsidR="00024B12" w:rsidRPr="0001393B" w:rsidRDefault="00540AB7" w:rsidP="00024B12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DNB will be in charge of registering the crypto service providers. </w:t>
                            </w:r>
                            <w:r w:rsidR="00024B12"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Two types of crypto service providers will be supervised:</w:t>
                            </w:r>
                          </w:p>
                          <w:p w:rsidR="00024B12" w:rsidRPr="0093146F" w:rsidRDefault="00024B12" w:rsidP="00024B12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1) Providers of exchange services between virtual </w:t>
                            </w:r>
                            <w:r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currencies and fiat currencies</w:t>
                            </w:r>
                            <w:r w:rsidR="00187ADB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.</w:t>
                            </w:r>
                          </w:p>
                          <w:p w:rsidR="00024B12" w:rsidRPr="0093146F" w:rsidRDefault="00024B12" w:rsidP="00024B12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2) Custodian wallet providers. </w:t>
                            </w:r>
                          </w:p>
                          <w:p w:rsidR="00024B12" w:rsidRPr="0093146F" w:rsidRDefault="00024B12" w:rsidP="00184709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</w:p>
                          <w:p w:rsidR="00A435D2" w:rsidRPr="0093146F" w:rsidRDefault="00DF02A4" w:rsidP="00184709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Entities p</w:t>
                            </w:r>
                            <w:r w:rsidR="00B7108A">
                              <w:rPr>
                                <w:bCs/>
                                <w:color w:val="353535"/>
                                <w:lang w:val="en-US"/>
                              </w:rPr>
                              <w:t>roviding services in t</w:t>
                            </w:r>
                            <w:r w:rsidRPr="0093146F">
                              <w:rPr>
                                <w:bCs/>
                                <w:color w:val="353535"/>
                                <w:lang w:val="en-US"/>
                              </w:rPr>
                              <w:t xml:space="preserve">he Netherlands from another Member State </w:t>
                            </w:r>
                            <w:r w:rsidR="00B37397" w:rsidRPr="0093146F">
                              <w:rPr>
                                <w:bCs/>
                                <w:color w:val="353535"/>
                                <w:lang w:val="en-US"/>
                              </w:rPr>
                              <w:t xml:space="preserve">of the European Union, as well as a state not being a Member State of the European Union that is party to the Agreement on the European Economic Area (EEA) </w:t>
                            </w:r>
                            <w:r w:rsidRPr="0093146F">
                              <w:rPr>
                                <w:bCs/>
                                <w:color w:val="353535"/>
                                <w:lang w:val="en-US"/>
                              </w:rPr>
                              <w:t xml:space="preserve">are also required to register. </w:t>
                            </w:r>
                            <w:r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In principle, entities operating from another country that is not an EU Member State </w:t>
                            </w:r>
                            <w:r w:rsidR="00871F4A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or an EEA country </w:t>
                            </w:r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cannot register with DNB. The Anti-money Laundering and Terrorist Financing Act (Wet </w:t>
                            </w:r>
                            <w:proofErr w:type="spellStart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ter</w:t>
                            </w:r>
                            <w:proofErr w:type="spellEnd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voorkoming</w:t>
                            </w:r>
                            <w:proofErr w:type="spellEnd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van </w:t>
                            </w:r>
                            <w:proofErr w:type="spellStart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witwassen</w:t>
                            </w:r>
                            <w:proofErr w:type="spellEnd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en</w:t>
                            </w:r>
                            <w:proofErr w:type="spellEnd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financieren</w:t>
                            </w:r>
                            <w:proofErr w:type="spellEnd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van </w:t>
                            </w:r>
                            <w:proofErr w:type="spellStart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terrorisme</w:t>
                            </w:r>
                            <w:proofErr w:type="spellEnd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Wwft</w:t>
                            </w:r>
                            <w:proofErr w:type="spellEnd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) is expected to enter into force on 10 January 2020.</w:t>
                            </w:r>
                            <w:r w:rsidR="000C7F5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</w:t>
                            </w:r>
                          </w:p>
                          <w:p w:rsidR="00540AB7" w:rsidRPr="0001393B" w:rsidRDefault="00540AB7" w:rsidP="00540AB7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3F06" id="Tekstvak 9" o:spid="_x0000_s1027" type="#_x0000_t202" style="position:absolute;left:0;text-align:left;margin-left:-21.85pt;margin-top:10.5pt;width:234.35pt;height:26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" fillcolor="white [3201]" stroked="f" strokeweight=".5pt">
                <v:textbox>
                  <w:txbxContent>
                    <w:p w:rsidR="00540AB7" w:rsidRPr="0001393B" w:rsidRDefault="00184709" w:rsidP="00540AB7">
                      <w:pPr>
                        <w:rPr>
                          <w:b/>
                          <w:lang w:val="en-US"/>
                        </w:rPr>
                      </w:pPr>
                      <w:r w:rsidRPr="0001393B">
                        <w:rPr>
                          <w:b/>
                          <w:lang w:val="en-US"/>
                        </w:rPr>
                        <w:t xml:space="preserve">Which crypto service providers will be registered? </w:t>
                      </w:r>
                    </w:p>
                    <w:p w:rsidR="00024B12" w:rsidRPr="0001393B" w:rsidRDefault="00540AB7" w:rsidP="00024B12">
                      <w:pPr>
                        <w:jc w:val="both"/>
                        <w:rPr>
                          <w:rFonts w:cs="Arial"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DNB will be in charge of registering the crypto service providers. </w:t>
                      </w:r>
                      <w:r w:rsidR="00024B12" w:rsidRPr="0001393B">
                        <w:rPr>
                          <w:rFonts w:cs="Arial"/>
                          <w:color w:val="353535"/>
                          <w:lang w:val="en-US"/>
                        </w:rPr>
                        <w:t>Two types of crypto service providers will be supervised:</w:t>
                      </w:r>
                    </w:p>
                    <w:p w:rsidR="00024B12" w:rsidRPr="0093146F" w:rsidRDefault="00024B12" w:rsidP="00024B12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1) Providers of exchange services between virtual </w:t>
                      </w:r>
                      <w:r w:rsidRPr="0093146F">
                        <w:rPr>
                          <w:rFonts w:cs="Arial"/>
                          <w:color w:val="353535"/>
                          <w:lang w:val="en-US"/>
                        </w:rPr>
                        <w:t>currencies and fiat currencies</w:t>
                      </w:r>
                      <w:r w:rsidR="00187ADB" w:rsidRPr="0093146F">
                        <w:rPr>
                          <w:rFonts w:cs="Arial"/>
                          <w:color w:val="353535"/>
                          <w:lang w:val="en-US"/>
                        </w:rPr>
                        <w:t>.</w:t>
                      </w:r>
                    </w:p>
                    <w:p w:rsidR="00024B12" w:rsidRPr="0093146F" w:rsidRDefault="00024B12" w:rsidP="00024B12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2) Custodian wallet providers. </w:t>
                      </w:r>
                    </w:p>
                    <w:p w:rsidR="00024B12" w:rsidRPr="0093146F" w:rsidRDefault="00024B12" w:rsidP="00184709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</w:p>
                    <w:p w:rsidR="00A435D2" w:rsidRPr="0093146F" w:rsidRDefault="00DF02A4" w:rsidP="00184709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93146F">
                        <w:rPr>
                          <w:rFonts w:cs="Arial"/>
                          <w:color w:val="353535"/>
                          <w:lang w:val="en-US"/>
                        </w:rPr>
                        <w:t>Entities p</w:t>
                      </w:r>
                      <w:r w:rsidR="00B7108A">
                        <w:rPr>
                          <w:bCs/>
                          <w:color w:val="353535"/>
                          <w:lang w:val="en-US"/>
                        </w:rPr>
                        <w:t>roviding services in t</w:t>
                      </w:r>
                      <w:r w:rsidRPr="0093146F">
                        <w:rPr>
                          <w:bCs/>
                          <w:color w:val="353535"/>
                          <w:lang w:val="en-US"/>
                        </w:rPr>
                        <w:t xml:space="preserve">he Netherlands from another Member State </w:t>
                      </w:r>
                      <w:r w:rsidR="00B37397" w:rsidRPr="0093146F">
                        <w:rPr>
                          <w:bCs/>
                          <w:color w:val="353535"/>
                          <w:lang w:val="en-US"/>
                        </w:rPr>
                        <w:t xml:space="preserve">of the European Union, as well as a state not being a Member State of the European Union that is party to the Agreement on the European Economic Area (EEA) </w:t>
                      </w:r>
                      <w:r w:rsidRPr="0093146F">
                        <w:rPr>
                          <w:bCs/>
                          <w:color w:val="353535"/>
                          <w:lang w:val="en-US"/>
                        </w:rPr>
                        <w:t xml:space="preserve">are also required to register. </w:t>
                      </w:r>
                      <w:r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In principle, entities operating from another country that is not an EU Member State </w:t>
                      </w:r>
                      <w:r w:rsidR="00871F4A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 or an EEA country </w:t>
                      </w:r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cannot register with DNB. The Anti-money Laundering and Terrorist Financing Act (Wet </w:t>
                      </w:r>
                      <w:proofErr w:type="spellStart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>ter</w:t>
                      </w:r>
                      <w:proofErr w:type="spellEnd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 </w:t>
                      </w:r>
                      <w:proofErr w:type="spellStart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>voorkoming</w:t>
                      </w:r>
                      <w:proofErr w:type="spellEnd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 van </w:t>
                      </w:r>
                      <w:proofErr w:type="spellStart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>witwassen</w:t>
                      </w:r>
                      <w:proofErr w:type="spellEnd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 en </w:t>
                      </w:r>
                      <w:proofErr w:type="spellStart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>financieren</w:t>
                      </w:r>
                      <w:proofErr w:type="spellEnd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 van </w:t>
                      </w:r>
                      <w:proofErr w:type="spellStart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>terrorisme</w:t>
                      </w:r>
                      <w:proofErr w:type="spellEnd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 – </w:t>
                      </w:r>
                      <w:proofErr w:type="spellStart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>Wwft</w:t>
                      </w:r>
                      <w:proofErr w:type="spellEnd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>) is expected to enter into force on 10 January 2020.</w:t>
                      </w:r>
                      <w:r w:rsidR="000C7F56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 </w:t>
                      </w:r>
                    </w:p>
                    <w:p w:rsidR="00540AB7" w:rsidRPr="0001393B" w:rsidRDefault="00540AB7" w:rsidP="00540AB7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A44"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FDCB2" wp14:editId="02526D69">
                <wp:simplePos x="0" y="0"/>
                <wp:positionH relativeFrom="margin">
                  <wp:posOffset>2807335</wp:posOffset>
                </wp:positionH>
                <wp:positionV relativeFrom="paragraph">
                  <wp:posOffset>105410</wp:posOffset>
                </wp:positionV>
                <wp:extent cx="3352800" cy="184785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966" w:rsidRPr="0001393B" w:rsidRDefault="00A23966" w:rsidP="0001393B">
                            <w:pPr>
                              <w:jc w:val="both"/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  <w:t>What are the costs?</w:t>
                            </w:r>
                          </w:p>
                          <w:p w:rsidR="008E69D6" w:rsidRPr="0001393B" w:rsidRDefault="00A23966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Supervision fees and charges can be broken down into one-off charges an</w:t>
                            </w:r>
                            <w:r w:rsidR="00E556B4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d fees for regular supervision:</w:t>
                            </w:r>
                          </w:p>
                          <w:p w:rsidR="008E69D6" w:rsidRPr="0001393B" w:rsidRDefault="008E69D6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1) </w:t>
                            </w:r>
                            <w:r w:rsidR="00A23966"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One-off charges apply to applications for registration as a crypto service provider and for fit and proper assessments. </w:t>
                            </w:r>
                          </w:p>
                          <w:p w:rsidR="008E69D6" w:rsidRPr="0001393B" w:rsidRDefault="008E69D6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2) The costs for regular financial supervision are passed on to the institutions that are subject to this supervision. </w:t>
                            </w:r>
                          </w:p>
                          <w:p w:rsidR="008E69D6" w:rsidRPr="0001393B" w:rsidRDefault="008E69D6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</w:p>
                          <w:p w:rsidR="008E69D6" w:rsidRPr="0001393B" w:rsidRDefault="008E69D6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More information about </w:t>
                            </w:r>
                            <w:r w:rsidR="00DC4838"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the costs, when known, 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wi</w:t>
                            </w:r>
                            <w:r w:rsidR="00DC4838"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ll be available on</w:t>
                            </w:r>
                            <w:r w:rsidR="004B2E02"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our</w:t>
                            </w:r>
                            <w:r w:rsidR="00DC4838"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website. </w:t>
                            </w:r>
                          </w:p>
                          <w:p w:rsidR="008E69D6" w:rsidRPr="0001393B" w:rsidRDefault="008E69D6" w:rsidP="0001393B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DCB2" id="Tekstvak 6" o:spid="_x0000_s1028" type="#_x0000_t202" style="position:absolute;left:0;text-align:left;margin-left:221.05pt;margin-top:8.3pt;width:264pt;height:14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" fillcolor="white [3201]" stroked="f" strokeweight=".5pt">
                <v:textbox>
                  <w:txbxContent>
                    <w:p w:rsidR="00A23966" w:rsidRPr="0001393B" w:rsidRDefault="00A23966" w:rsidP="0001393B">
                      <w:pPr>
                        <w:jc w:val="both"/>
                        <w:rPr>
                          <w:rFonts w:cs="Arial"/>
                          <w:b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b/>
                          <w:color w:val="353535"/>
                          <w:lang w:val="en"/>
                        </w:rPr>
                        <w:t>What are the costs?</w:t>
                      </w:r>
                    </w:p>
                    <w:p w:rsidR="008E69D6" w:rsidRPr="0001393B" w:rsidRDefault="00A23966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-US"/>
                        </w:rPr>
                        <w:t>Supervision fees and charges can be broken down into one-off charges an</w:t>
                      </w:r>
                      <w:r w:rsidR="00E556B4">
                        <w:rPr>
                          <w:rFonts w:cs="Arial"/>
                          <w:color w:val="353535"/>
                          <w:lang w:val="en-US"/>
                        </w:rPr>
                        <w:t>d fees for regular supervision:</w:t>
                      </w:r>
                    </w:p>
                    <w:p w:rsidR="008E69D6" w:rsidRPr="0001393B" w:rsidRDefault="008E69D6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-US"/>
                        </w:rPr>
                        <w:t xml:space="preserve">1) </w:t>
                      </w:r>
                      <w:r w:rsidR="00A23966" w:rsidRPr="0001393B">
                        <w:rPr>
                          <w:rFonts w:cs="Arial"/>
                          <w:color w:val="353535"/>
                          <w:lang w:val="en-US"/>
                        </w:rPr>
                        <w:t xml:space="preserve">One-off charges apply to applications for registration as a crypto service provider and for fit and proper assessments. </w:t>
                      </w:r>
                    </w:p>
                    <w:p w:rsidR="008E69D6" w:rsidRPr="0001393B" w:rsidRDefault="008E69D6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-US"/>
                        </w:rPr>
                        <w:t xml:space="preserve">2) The costs for regular financial supervision are passed on to the institutions that are subject to this supervision. </w:t>
                      </w:r>
                    </w:p>
                    <w:p w:rsidR="008E69D6" w:rsidRPr="0001393B" w:rsidRDefault="008E69D6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</w:p>
                    <w:p w:rsidR="008E69D6" w:rsidRPr="0001393B" w:rsidRDefault="008E69D6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-US"/>
                        </w:rPr>
                        <w:t xml:space="preserve">More information about </w:t>
                      </w:r>
                      <w:r w:rsidR="00DC4838" w:rsidRPr="0001393B">
                        <w:rPr>
                          <w:rFonts w:cs="Arial"/>
                          <w:color w:val="353535"/>
                          <w:lang w:val="en-US"/>
                        </w:rPr>
                        <w:t xml:space="preserve">the costs, when known, </w:t>
                      </w:r>
                      <w:r w:rsidRPr="0001393B">
                        <w:rPr>
                          <w:rFonts w:cs="Arial"/>
                          <w:color w:val="353535"/>
                          <w:lang w:val="en-US"/>
                        </w:rPr>
                        <w:t>wi</w:t>
                      </w:r>
                      <w:r w:rsidR="00DC4838" w:rsidRPr="0001393B">
                        <w:rPr>
                          <w:rFonts w:cs="Arial"/>
                          <w:color w:val="353535"/>
                          <w:lang w:val="en-US"/>
                        </w:rPr>
                        <w:t>ll be available on</w:t>
                      </w:r>
                      <w:r w:rsidR="004B2E02" w:rsidRPr="0001393B">
                        <w:rPr>
                          <w:rFonts w:cs="Arial"/>
                          <w:color w:val="353535"/>
                          <w:lang w:val="en-US"/>
                        </w:rPr>
                        <w:t xml:space="preserve"> our</w:t>
                      </w:r>
                      <w:r w:rsidR="00DC4838" w:rsidRPr="0001393B">
                        <w:rPr>
                          <w:rFonts w:cs="Arial"/>
                          <w:color w:val="353535"/>
                          <w:lang w:val="en-US"/>
                        </w:rPr>
                        <w:t xml:space="preserve"> website. </w:t>
                      </w:r>
                    </w:p>
                    <w:p w:rsidR="008E69D6" w:rsidRPr="0001393B" w:rsidRDefault="008E69D6" w:rsidP="0001393B">
                      <w:pPr>
                        <w:jc w:val="both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DCE">
        <w:rPr>
          <w:sz w:val="18"/>
          <w:lang w:val="en-US"/>
        </w:rPr>
        <w:tab/>
      </w:r>
    </w:p>
    <w:p w:rsidR="007F6997" w:rsidRDefault="007F6997" w:rsidP="00184709">
      <w:pPr>
        <w:jc w:val="both"/>
        <w:rPr>
          <w:sz w:val="18"/>
          <w:lang w:val="en-US"/>
        </w:rPr>
      </w:pPr>
    </w:p>
    <w:p w:rsidR="007F6997" w:rsidRDefault="007F6997" w:rsidP="00184709">
      <w:pPr>
        <w:jc w:val="both"/>
        <w:rPr>
          <w:sz w:val="18"/>
          <w:lang w:val="en-US"/>
        </w:rPr>
      </w:pPr>
    </w:p>
    <w:p w:rsidR="007F6997" w:rsidRDefault="007F6997" w:rsidP="00184709">
      <w:pPr>
        <w:jc w:val="both"/>
        <w:rPr>
          <w:sz w:val="18"/>
          <w:lang w:val="en-US"/>
        </w:rPr>
      </w:pPr>
    </w:p>
    <w:p w:rsidR="007F6997" w:rsidRPr="00540AB7" w:rsidRDefault="007F6997" w:rsidP="00184709">
      <w:pPr>
        <w:jc w:val="both"/>
        <w:rPr>
          <w:sz w:val="18"/>
          <w:lang w:val="en-US"/>
        </w:rPr>
      </w:pPr>
    </w:p>
    <w:p w:rsidR="00831AB4" w:rsidRDefault="00831AB4" w:rsidP="00F90D70">
      <w:pPr>
        <w:rPr>
          <w:lang w:val="en-US"/>
        </w:rPr>
      </w:pPr>
    </w:p>
    <w:p w:rsidR="00DC4838" w:rsidRDefault="00DC4838" w:rsidP="00F90D70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01393B" w:rsidP="00DC4838">
      <w:pPr>
        <w:rPr>
          <w:lang w:val="en-US"/>
        </w:rPr>
      </w:pPr>
      <w:r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62C2E" wp14:editId="7F49E76E">
                <wp:simplePos x="0" y="0"/>
                <wp:positionH relativeFrom="margin">
                  <wp:posOffset>2797810</wp:posOffset>
                </wp:positionH>
                <wp:positionV relativeFrom="paragraph">
                  <wp:posOffset>61595</wp:posOffset>
                </wp:positionV>
                <wp:extent cx="3371850" cy="1590675"/>
                <wp:effectExtent l="0" t="0" r="0" b="952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B60" w:rsidRPr="0001393B" w:rsidRDefault="008D5B60" w:rsidP="0001393B">
                            <w:pPr>
                              <w:jc w:val="both"/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  <w:t xml:space="preserve">What if my customer does not give consent to </w:t>
                            </w:r>
                            <w:r w:rsidR="004D2FAA" w:rsidRPr="0001393B"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  <w:t xml:space="preserve">store </w:t>
                            </w:r>
                            <w:r w:rsidRPr="0001393B"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  <w:t>personal data?</w:t>
                            </w:r>
                          </w:p>
                          <w:p w:rsidR="008E69D6" w:rsidRPr="006C229E" w:rsidRDefault="008D5B60" w:rsidP="0001393B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The </w:t>
                            </w:r>
                            <w:proofErr w:type="spellStart"/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Wwft</w:t>
                            </w:r>
                            <w:proofErr w:type="spellEnd"/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requires that institutions keep records of clients and transactions.</w:t>
                            </w:r>
                            <w:r w:rsidR="00E20A44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If the customer does not give consent to store personal data, </w:t>
                            </w:r>
                            <w:r w:rsidR="00E20A44" w:rsidRPr="00E556B4">
                              <w:rPr>
                                <w:rFonts w:cs="Arial"/>
                                <w:lang w:val="en"/>
                              </w:rPr>
                              <w:t xml:space="preserve">no services may be provided by the institutions. </w:t>
                            </w:r>
                            <w:r w:rsidR="008E69D6" w:rsidRPr="00E556B4">
                              <w:rPr>
                                <w:rFonts w:cs="Arial"/>
                                <w:lang w:val="en"/>
                              </w:rPr>
                              <w:t xml:space="preserve">The </w:t>
                            </w:r>
                            <w:proofErr w:type="spellStart"/>
                            <w:r w:rsidR="008E69D6" w:rsidRPr="00E556B4">
                              <w:rPr>
                                <w:rFonts w:cs="Arial"/>
                                <w:lang w:val="en"/>
                              </w:rPr>
                              <w:t>Wwft</w:t>
                            </w:r>
                            <w:proofErr w:type="spellEnd"/>
                            <w:r w:rsidR="008E69D6" w:rsidRPr="00E556B4">
                              <w:rPr>
                                <w:rFonts w:cs="Arial"/>
                                <w:lang w:val="en"/>
                              </w:rPr>
                              <w:t xml:space="preserve"> takes into account the General Data Protection Regulation (AVG). An important principle of the AVG is the '</w:t>
                            </w:r>
                            <w:r w:rsidR="00A34229" w:rsidRPr="00E556B4">
                              <w:rPr>
                                <w:rFonts w:cs="Arial"/>
                                <w:lang w:val="en"/>
                              </w:rPr>
                              <w:t>purpose</w:t>
                            </w:r>
                            <w:r w:rsidR="006C229E" w:rsidRPr="00E556B4">
                              <w:rPr>
                                <w:rFonts w:cs="Arial"/>
                                <w:lang w:val="en"/>
                              </w:rPr>
                              <w:t xml:space="preserve"> limitation</w:t>
                            </w:r>
                            <w:r w:rsidR="00A34229" w:rsidRPr="00E556B4">
                              <w:rPr>
                                <w:rFonts w:cs="Arial"/>
                                <w:lang w:val="en"/>
                              </w:rPr>
                              <w:t>’</w:t>
                            </w:r>
                            <w:r w:rsidR="00CE52D3">
                              <w:rPr>
                                <w:rFonts w:cs="Arial"/>
                                <w:lang w:val="en"/>
                              </w:rPr>
                              <w:t xml:space="preserve"> principle</w:t>
                            </w:r>
                            <w:r w:rsidR="008E69D6" w:rsidRPr="00E556B4">
                              <w:rPr>
                                <w:rFonts w:cs="Arial"/>
                                <w:lang w:val="en"/>
                              </w:rPr>
                              <w:t xml:space="preserve">, which is elaborated in Article 34a, first paragraph, of the </w:t>
                            </w:r>
                            <w:proofErr w:type="spellStart"/>
                            <w:r w:rsidR="008E69D6" w:rsidRPr="00E556B4">
                              <w:rPr>
                                <w:rFonts w:cs="Arial"/>
                                <w:lang w:val="en"/>
                              </w:rPr>
                              <w:t>Wwft</w:t>
                            </w:r>
                            <w:proofErr w:type="spellEnd"/>
                            <w:r w:rsidR="008E69D6" w:rsidRPr="00E556B4">
                              <w:rPr>
                                <w:rFonts w:cs="Arial"/>
                                <w:lang w:val="en"/>
                              </w:rPr>
                              <w:t>.</w:t>
                            </w:r>
                            <w:r w:rsidRPr="00E556B4">
                              <w:rPr>
                                <w:rFonts w:cs="Arial"/>
                                <w:lang w:val="en"/>
                              </w:rPr>
                              <w:t xml:space="preserve"> </w:t>
                            </w:r>
                          </w:p>
                          <w:p w:rsidR="008E69D6" w:rsidRPr="0001393B" w:rsidRDefault="008E69D6" w:rsidP="0001393B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2C2E" id="Tekstvak 10" o:spid="_x0000_s1029" type="#_x0000_t202" style="position:absolute;margin-left:220.3pt;margin-top:4.85pt;width:265.5pt;height:1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" fillcolor="white [3201]" stroked="f" strokeweight=".5pt">
                <v:textbox>
                  <w:txbxContent>
                    <w:p w:rsidR="008D5B60" w:rsidRPr="0001393B" w:rsidRDefault="008D5B60" w:rsidP="0001393B">
                      <w:pPr>
                        <w:jc w:val="both"/>
                        <w:rPr>
                          <w:rFonts w:cs="Arial"/>
                          <w:b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b/>
                          <w:color w:val="353535"/>
                          <w:lang w:val="en"/>
                        </w:rPr>
                        <w:t xml:space="preserve">What if my customer does not give consent to </w:t>
                      </w:r>
                      <w:r w:rsidR="004D2FAA" w:rsidRPr="0001393B">
                        <w:rPr>
                          <w:rFonts w:cs="Arial"/>
                          <w:b/>
                          <w:color w:val="353535"/>
                          <w:lang w:val="en"/>
                        </w:rPr>
                        <w:t xml:space="preserve">store </w:t>
                      </w:r>
                      <w:r w:rsidRPr="0001393B">
                        <w:rPr>
                          <w:rFonts w:cs="Arial"/>
                          <w:b/>
                          <w:color w:val="353535"/>
                          <w:lang w:val="en"/>
                        </w:rPr>
                        <w:t>personal data?</w:t>
                      </w:r>
                    </w:p>
                    <w:p w:rsidR="008E69D6" w:rsidRPr="006C229E" w:rsidRDefault="008D5B60" w:rsidP="0001393B">
                      <w:pPr>
                        <w:jc w:val="both"/>
                        <w:rPr>
                          <w:b/>
                          <w:lang w:val="en-US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The </w:t>
                      </w:r>
                      <w:proofErr w:type="spellStart"/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>Wwft</w:t>
                      </w:r>
                      <w:proofErr w:type="spellEnd"/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requires that institutions keep records of clients and transactions.</w:t>
                      </w:r>
                      <w:r w:rsidR="00E20A44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If the customer does not give consent to store personal data, </w:t>
                      </w:r>
                      <w:r w:rsidR="00E20A44" w:rsidRPr="00E556B4">
                        <w:rPr>
                          <w:rFonts w:cs="Arial"/>
                          <w:lang w:val="en"/>
                        </w:rPr>
                        <w:t xml:space="preserve">no services may be provided by the institutions. </w:t>
                      </w:r>
                      <w:r w:rsidR="008E69D6" w:rsidRPr="00E556B4">
                        <w:rPr>
                          <w:rFonts w:cs="Arial"/>
                          <w:lang w:val="en"/>
                        </w:rPr>
                        <w:t xml:space="preserve">The </w:t>
                      </w:r>
                      <w:proofErr w:type="spellStart"/>
                      <w:r w:rsidR="008E69D6" w:rsidRPr="00E556B4">
                        <w:rPr>
                          <w:rFonts w:cs="Arial"/>
                          <w:lang w:val="en"/>
                        </w:rPr>
                        <w:t>Wwft</w:t>
                      </w:r>
                      <w:proofErr w:type="spellEnd"/>
                      <w:r w:rsidR="008E69D6" w:rsidRPr="00E556B4">
                        <w:rPr>
                          <w:rFonts w:cs="Arial"/>
                          <w:lang w:val="en"/>
                        </w:rPr>
                        <w:t xml:space="preserve"> takes into account the General Data Protection Regulation (AVG). An important principle of the AVG is the '</w:t>
                      </w:r>
                      <w:r w:rsidR="00A34229" w:rsidRPr="00E556B4">
                        <w:rPr>
                          <w:rFonts w:cs="Arial"/>
                          <w:lang w:val="en"/>
                        </w:rPr>
                        <w:t>purpose</w:t>
                      </w:r>
                      <w:r w:rsidR="006C229E" w:rsidRPr="00E556B4">
                        <w:rPr>
                          <w:rFonts w:cs="Arial"/>
                          <w:lang w:val="en"/>
                        </w:rPr>
                        <w:t xml:space="preserve"> limitation</w:t>
                      </w:r>
                      <w:r w:rsidR="00A34229" w:rsidRPr="00E556B4">
                        <w:rPr>
                          <w:rFonts w:cs="Arial"/>
                          <w:lang w:val="en"/>
                        </w:rPr>
                        <w:t>’</w:t>
                      </w:r>
                      <w:r w:rsidR="00CE52D3">
                        <w:rPr>
                          <w:rFonts w:cs="Arial"/>
                          <w:lang w:val="en"/>
                        </w:rPr>
                        <w:t xml:space="preserve"> principle</w:t>
                      </w:r>
                      <w:r w:rsidR="008E69D6" w:rsidRPr="00E556B4">
                        <w:rPr>
                          <w:rFonts w:cs="Arial"/>
                          <w:lang w:val="en"/>
                        </w:rPr>
                        <w:t xml:space="preserve">, which is elaborated in Article 34a, first paragraph, of the </w:t>
                      </w:r>
                      <w:proofErr w:type="spellStart"/>
                      <w:r w:rsidR="008E69D6" w:rsidRPr="00E556B4">
                        <w:rPr>
                          <w:rFonts w:cs="Arial"/>
                          <w:lang w:val="en"/>
                        </w:rPr>
                        <w:t>Wwft</w:t>
                      </w:r>
                      <w:proofErr w:type="spellEnd"/>
                      <w:r w:rsidR="008E69D6" w:rsidRPr="00E556B4">
                        <w:rPr>
                          <w:rFonts w:cs="Arial"/>
                          <w:lang w:val="en"/>
                        </w:rPr>
                        <w:t>.</w:t>
                      </w:r>
                      <w:r w:rsidRPr="00E556B4">
                        <w:rPr>
                          <w:rFonts w:cs="Arial"/>
                          <w:lang w:val="en"/>
                        </w:rPr>
                        <w:t xml:space="preserve"> </w:t>
                      </w:r>
                    </w:p>
                    <w:p w:rsidR="008E69D6" w:rsidRPr="0001393B" w:rsidRDefault="008E69D6" w:rsidP="0001393B">
                      <w:pPr>
                        <w:jc w:val="both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B37397" w:rsidP="00DC4838">
      <w:pPr>
        <w:rPr>
          <w:lang w:val="en-US"/>
        </w:rPr>
      </w:pPr>
      <w:r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-280670</wp:posOffset>
                </wp:positionH>
                <wp:positionV relativeFrom="paragraph">
                  <wp:posOffset>92265</wp:posOffset>
                </wp:positionV>
                <wp:extent cx="3000375" cy="2266950"/>
                <wp:effectExtent l="0" t="0" r="9525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4E0" w:rsidRPr="0001393B" w:rsidRDefault="00EA64E0">
                            <w:pPr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  <w:t xml:space="preserve">What do the new requirements mean? </w:t>
                            </w:r>
                          </w:p>
                          <w:p w:rsidR="00A23966" w:rsidRPr="0001393B" w:rsidRDefault="00EA64E0" w:rsidP="00A23966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The </w:t>
                            </w:r>
                            <w:proofErr w:type="spellStart"/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Wwft</w:t>
                            </w:r>
                            <w:proofErr w:type="spellEnd"/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includes requirements on conducting customer due diligence and the reporting of unusual transactions. In addition</w:t>
                            </w:r>
                            <w:r w:rsidR="00A435D2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,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parties will have to carry out a risk analysis tailored to their business operations. Unusual transactions will have to be reported to FIU-the Netherlands. </w:t>
                            </w:r>
                            <w:r w:rsidR="00A435D2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Business operations will need to be 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sound and ethical and fulfil requirements for a transparent control structure. Under the </w:t>
                            </w:r>
                            <w:r w:rsidR="001A1B3B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Sanctions Act (</w:t>
                            </w:r>
                            <w:proofErr w:type="spellStart"/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Sw</w:t>
                            </w:r>
                            <w:proofErr w:type="spellEnd"/>
                            <w:r w:rsidR="001A1B3B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)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parties must screen</w:t>
                            </w:r>
                            <w:r w:rsidR="00CE52D3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clients and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transactions against sanctions lists.</w:t>
                            </w:r>
                            <w:r w:rsidR="00871F4A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</w:t>
                            </w:r>
                            <w:r w:rsidR="00A23966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After registration, the institutions will be subject to ongoing integrity supervision. </w:t>
                            </w:r>
                          </w:p>
                          <w:p w:rsidR="00A23966" w:rsidRPr="0001393B" w:rsidRDefault="00A23966" w:rsidP="0018470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1" o:spid="_x0000_s1030" type="#_x0000_t202" style="position:absolute;margin-left:-22.1pt;margin-top:7.25pt;width:236.25pt;height:17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" fillcolor="white [3201]" stroked="f" strokeweight=".5pt">
                <v:textbox>
                  <w:txbxContent>
                    <w:p w:rsidR="00EA64E0" w:rsidRPr="0001393B" w:rsidRDefault="00EA64E0">
                      <w:pPr>
                        <w:rPr>
                          <w:rFonts w:cs="Arial"/>
                          <w:b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b/>
                          <w:color w:val="353535"/>
                          <w:lang w:val="en"/>
                        </w:rPr>
                        <w:t xml:space="preserve">What do the new requirements mean? </w:t>
                      </w:r>
                    </w:p>
                    <w:p w:rsidR="00A23966" w:rsidRPr="0001393B" w:rsidRDefault="00EA64E0" w:rsidP="00A23966">
                      <w:pPr>
                        <w:jc w:val="both"/>
                        <w:rPr>
                          <w:rFonts w:cs="Arial"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The </w:t>
                      </w:r>
                      <w:proofErr w:type="spellStart"/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>Wwft</w:t>
                      </w:r>
                      <w:proofErr w:type="spellEnd"/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includes requirements on conducting customer due diligence and the reporting of unusual transactions. In addition</w:t>
                      </w:r>
                      <w:r w:rsidR="00A435D2" w:rsidRPr="0001393B">
                        <w:rPr>
                          <w:rFonts w:cs="Arial"/>
                          <w:color w:val="353535"/>
                          <w:lang w:val="en"/>
                        </w:rPr>
                        <w:t>,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parties will have to carry out a risk analysis tailored to their business operations. Unusual transactions will have to be reported to FIU-the Netherlands. </w:t>
                      </w:r>
                      <w:r w:rsidR="00A435D2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Business operations will need to be 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sound and ethical and fulfil requirements for a transparent control structure. Under the </w:t>
                      </w:r>
                      <w:r w:rsidR="001A1B3B" w:rsidRPr="0001393B">
                        <w:rPr>
                          <w:rFonts w:cs="Arial"/>
                          <w:color w:val="353535"/>
                          <w:lang w:val="en"/>
                        </w:rPr>
                        <w:t>Sanctions Act (</w:t>
                      </w:r>
                      <w:proofErr w:type="spellStart"/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>Sw</w:t>
                      </w:r>
                      <w:proofErr w:type="spellEnd"/>
                      <w:r w:rsidR="001A1B3B" w:rsidRPr="0001393B">
                        <w:rPr>
                          <w:rFonts w:cs="Arial"/>
                          <w:color w:val="353535"/>
                          <w:lang w:val="en"/>
                        </w:rPr>
                        <w:t>)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parties must screen</w:t>
                      </w:r>
                      <w:r w:rsidR="00CE52D3">
                        <w:rPr>
                          <w:rFonts w:cs="Arial"/>
                          <w:color w:val="353535"/>
                          <w:lang w:val="en"/>
                        </w:rPr>
                        <w:t xml:space="preserve"> clients and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transactions against sanctions lists.</w:t>
                      </w:r>
                      <w:r w:rsidR="00871F4A">
                        <w:rPr>
                          <w:rFonts w:cs="Arial"/>
                          <w:color w:val="353535"/>
                          <w:lang w:val="en"/>
                        </w:rPr>
                        <w:t xml:space="preserve"> </w:t>
                      </w:r>
                      <w:r w:rsidR="00A23966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After registration, the institutions will be subject to ongoing integrity supervision. </w:t>
                      </w:r>
                    </w:p>
                    <w:p w:rsidR="00A23966" w:rsidRPr="0001393B" w:rsidRDefault="00A23966" w:rsidP="00184709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93B"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C464A" wp14:editId="08A149AC">
                <wp:simplePos x="0" y="0"/>
                <wp:positionH relativeFrom="margin">
                  <wp:posOffset>2807335</wp:posOffset>
                </wp:positionH>
                <wp:positionV relativeFrom="paragraph">
                  <wp:posOffset>58420</wp:posOffset>
                </wp:positionV>
                <wp:extent cx="3362325" cy="2114550"/>
                <wp:effectExtent l="0" t="0" r="9525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EFC" w:rsidRPr="0001393B" w:rsidRDefault="006C6EFC" w:rsidP="0001393B">
                            <w:pPr>
                              <w:jc w:val="both"/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  <w:t>Am I allowed to outsource customer due diligence</w:t>
                            </w:r>
                            <w:r w:rsidR="00DC4838" w:rsidRPr="0001393B"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  <w:t>?</w:t>
                            </w:r>
                          </w:p>
                          <w:p w:rsidR="005476A5" w:rsidRPr="0001393B" w:rsidRDefault="006C6EFC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Article 10 of the </w:t>
                            </w:r>
                            <w:proofErr w:type="spellStart"/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Wwft</w:t>
                            </w:r>
                            <w:proofErr w:type="spellEnd"/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offers the possibility to outsource</w:t>
                            </w:r>
                            <w:r w:rsidR="000C7F56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parts of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the customer due diligence</w:t>
                            </w:r>
                            <w:r w:rsidR="000C7F56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process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. However, the institution that has outsourced the </w:t>
                            </w:r>
                            <w:r w:rsidR="00CE52D3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process 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remains responsible for complying </w:t>
                            </w:r>
                            <w:r w:rsidR="004D2FAA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the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</w:t>
                            </w:r>
                            <w:r w:rsidR="004D2FAA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customer due diligence 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requirements. When outsourcing to a third party, the institution must </w:t>
                            </w:r>
                            <w:r w:rsidR="00CE52D3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carry out</w:t>
                            </w:r>
                            <w:r w:rsidR="00CE52D3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a risk analysis</w:t>
                            </w:r>
                            <w:r w:rsidR="00DC4838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. It is important that the institution not only records that the third party</w:t>
                            </w:r>
                            <w:r w:rsidR="004D2FAA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</w:t>
                            </w:r>
                            <w:r w:rsidR="00DC4838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complies with the </w:t>
                            </w:r>
                            <w:proofErr w:type="spellStart"/>
                            <w:r w:rsidR="00DC4838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Wwft</w:t>
                            </w:r>
                            <w:proofErr w:type="spellEnd"/>
                            <w:r w:rsidR="00DC4838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and where necessary with the policy rules of the institution, but that the instit</w:t>
                            </w:r>
                            <w:r w:rsidR="00B7108A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ution also periodically checks and </w:t>
                            </w:r>
                            <w:r w:rsidR="00DC4838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reports on this.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464A" id="Tekstvak 17" o:spid="_x0000_s1031" type="#_x0000_t202" style="position:absolute;margin-left:221.05pt;margin-top:4.6pt;width:264.75pt;height:16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" fillcolor="white [3201]" stroked="f" strokeweight=".5pt">
                <v:textbox>
                  <w:txbxContent>
                    <w:p w:rsidR="006C6EFC" w:rsidRPr="0001393B" w:rsidRDefault="006C6EFC" w:rsidP="0001393B">
                      <w:pPr>
                        <w:jc w:val="both"/>
                        <w:rPr>
                          <w:rFonts w:cs="Arial"/>
                          <w:b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b/>
                          <w:color w:val="353535"/>
                          <w:lang w:val="en"/>
                        </w:rPr>
                        <w:t>Am I allowed to outsource customer due diligence</w:t>
                      </w:r>
                      <w:r w:rsidR="00DC4838" w:rsidRPr="0001393B">
                        <w:rPr>
                          <w:rFonts w:cs="Arial"/>
                          <w:b/>
                          <w:color w:val="353535"/>
                          <w:lang w:val="en"/>
                        </w:rPr>
                        <w:t>?</w:t>
                      </w:r>
                    </w:p>
                    <w:p w:rsidR="005476A5" w:rsidRPr="0001393B" w:rsidRDefault="006C6EFC" w:rsidP="0001393B">
                      <w:pPr>
                        <w:jc w:val="both"/>
                        <w:rPr>
                          <w:rFonts w:cs="Arial"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Article 10 of the </w:t>
                      </w:r>
                      <w:proofErr w:type="spellStart"/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>Wwft</w:t>
                      </w:r>
                      <w:proofErr w:type="spellEnd"/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offers the possibility to outsource</w:t>
                      </w:r>
                      <w:r w:rsidR="000C7F56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parts of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the customer due diligence</w:t>
                      </w:r>
                      <w:r w:rsidR="000C7F56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process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. However, the institution that has outsourced the </w:t>
                      </w:r>
                      <w:r w:rsidR="00CE52D3">
                        <w:rPr>
                          <w:rFonts w:cs="Arial"/>
                          <w:color w:val="353535"/>
                          <w:lang w:val="en"/>
                        </w:rPr>
                        <w:t xml:space="preserve">process 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remains responsible for complying </w:t>
                      </w:r>
                      <w:r w:rsidR="004D2FAA" w:rsidRPr="0001393B">
                        <w:rPr>
                          <w:rFonts w:cs="Arial"/>
                          <w:color w:val="353535"/>
                          <w:lang w:val="en"/>
                        </w:rPr>
                        <w:t>the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</w:t>
                      </w:r>
                      <w:r w:rsidR="004D2FAA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customer due diligence 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requirements. When outsourcing to a third party, the institution must </w:t>
                      </w:r>
                      <w:r w:rsidR="00CE52D3">
                        <w:rPr>
                          <w:rFonts w:cs="Arial"/>
                          <w:color w:val="353535"/>
                          <w:lang w:val="en"/>
                        </w:rPr>
                        <w:t>carry out</w:t>
                      </w:r>
                      <w:r w:rsidR="00CE52D3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>a risk analysis</w:t>
                      </w:r>
                      <w:r w:rsidR="00DC4838" w:rsidRPr="0001393B">
                        <w:rPr>
                          <w:rFonts w:cs="Arial"/>
                          <w:color w:val="353535"/>
                          <w:lang w:val="en"/>
                        </w:rPr>
                        <w:t>. It is important that the institution not only records that the third party</w:t>
                      </w:r>
                      <w:r w:rsidR="004D2FAA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</w:t>
                      </w:r>
                      <w:r w:rsidR="00DC4838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complies with the </w:t>
                      </w:r>
                      <w:proofErr w:type="spellStart"/>
                      <w:r w:rsidR="00DC4838" w:rsidRPr="0001393B">
                        <w:rPr>
                          <w:rFonts w:cs="Arial"/>
                          <w:color w:val="353535"/>
                          <w:lang w:val="en"/>
                        </w:rPr>
                        <w:t>Wwft</w:t>
                      </w:r>
                      <w:proofErr w:type="spellEnd"/>
                      <w:r w:rsidR="00DC4838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and where necessary with the policy rules of the institution, but that the instit</w:t>
                      </w:r>
                      <w:r w:rsidR="00B7108A">
                        <w:rPr>
                          <w:rFonts w:cs="Arial"/>
                          <w:color w:val="353535"/>
                          <w:lang w:val="en"/>
                        </w:rPr>
                        <w:t xml:space="preserve">ution also periodically checks and </w:t>
                      </w:r>
                      <w:r w:rsidR="00DC4838" w:rsidRPr="0001393B">
                        <w:rPr>
                          <w:rFonts w:cs="Arial"/>
                          <w:color w:val="353535"/>
                          <w:lang w:val="en"/>
                        </w:rPr>
                        <w:t>reports on this.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B7108A" w:rsidP="00DC4838">
      <w:pPr>
        <w:rPr>
          <w:lang w:val="en-US"/>
        </w:rPr>
      </w:pPr>
      <w:r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71A9D7" wp14:editId="178D4D70">
                <wp:simplePos x="0" y="0"/>
                <wp:positionH relativeFrom="margin">
                  <wp:posOffset>2836545</wp:posOffset>
                </wp:positionH>
                <wp:positionV relativeFrom="paragraph">
                  <wp:posOffset>5080</wp:posOffset>
                </wp:positionV>
                <wp:extent cx="3362325" cy="2114550"/>
                <wp:effectExtent l="0" t="0" r="9525" b="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A44" w:rsidRPr="00B37397" w:rsidRDefault="00A34229" w:rsidP="0001393B">
                            <w:pPr>
                              <w:jc w:val="both"/>
                              <w:rPr>
                                <w:rFonts w:cs="Arial"/>
                                <w:b/>
                                <w:color w:val="353535"/>
                                <w:lang w:val="en-US"/>
                              </w:rPr>
                            </w:pPr>
                            <w:r w:rsidRPr="00B37397">
                              <w:rPr>
                                <w:rFonts w:cs="Arial"/>
                                <w:b/>
                                <w:color w:val="353535"/>
                                <w:lang w:val="en-US"/>
                              </w:rPr>
                              <w:t xml:space="preserve">What is the </w:t>
                            </w:r>
                            <w:r w:rsidR="00E20A44" w:rsidRPr="00B37397">
                              <w:rPr>
                                <w:rFonts w:cs="Arial"/>
                                <w:b/>
                                <w:color w:val="353535"/>
                                <w:lang w:val="en-US"/>
                              </w:rPr>
                              <w:t>FATF</w:t>
                            </w:r>
                            <w:r w:rsidRPr="00B37397">
                              <w:rPr>
                                <w:rFonts w:cs="Arial"/>
                                <w:b/>
                                <w:color w:val="353535"/>
                                <w:lang w:val="en-US"/>
                              </w:rPr>
                              <w:t>?</w:t>
                            </w:r>
                          </w:p>
                          <w:p w:rsidR="00A50D0B" w:rsidRPr="0001393B" w:rsidRDefault="00A34229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A34229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The Financial Action Task Force (FATF) is an</w:t>
                            </w:r>
                            <w:r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intergovernmental organization. </w:t>
                            </w:r>
                            <w:r w:rsidRPr="00A34229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The FATF focuses on the international fight against money laundering and terrorism financing. Memb</w:t>
                            </w:r>
                            <w:r w:rsidR="00B7108A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ers of the FATF, which include t</w:t>
                            </w:r>
                            <w:r w:rsidRPr="00A34229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he Netherlands, are bound by recommendations with regard to money laundering</w:t>
                            </w:r>
                            <w:r w:rsidR="000950CF" w:rsidRPr="00A34229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and terrorism financing</w:t>
                            </w:r>
                            <w:r w:rsidRPr="00A34229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</w:t>
                            </w:r>
                            <w:r w:rsidR="00CE52D3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In July 2019, the FATF issued guidance on ‘Virtual Assets and Related Providers’, that is</w:t>
                            </w:r>
                            <w:r w:rsidR="00515455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very</w:t>
                            </w:r>
                            <w:r w:rsidR="00CE52D3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likely to have an impact on </w:t>
                            </w:r>
                            <w:r w:rsidR="00515455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the scope of the current legislative framework regarding cry</w:t>
                            </w:r>
                            <w:r w:rsidR="00B7108A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pto in t</w:t>
                            </w:r>
                            <w:r w:rsidR="00515455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he Netherlands. </w:t>
                            </w:r>
                          </w:p>
                          <w:p w:rsidR="00A50D0B" w:rsidRPr="0001393B" w:rsidRDefault="00A50D0B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</w:p>
                          <w:p w:rsidR="00DC4838" w:rsidRPr="00075DCE" w:rsidRDefault="00DC4838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1A9D7" id="Tekstvak 19" o:spid="_x0000_s1032" type="#_x0000_t202" style="position:absolute;margin-left:223.35pt;margin-top:.4pt;width:264.75pt;height:16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" fillcolor="white [3201]" stroked="f" strokeweight=".5pt">
                <v:textbox>
                  <w:txbxContent>
                    <w:p w:rsidR="00E20A44" w:rsidRPr="00B37397" w:rsidRDefault="00A34229" w:rsidP="0001393B">
                      <w:pPr>
                        <w:jc w:val="both"/>
                        <w:rPr>
                          <w:rFonts w:cs="Arial"/>
                          <w:b/>
                          <w:color w:val="353535"/>
                          <w:lang w:val="en-US"/>
                        </w:rPr>
                      </w:pPr>
                      <w:r w:rsidRPr="00B37397">
                        <w:rPr>
                          <w:rFonts w:cs="Arial"/>
                          <w:b/>
                          <w:color w:val="353535"/>
                          <w:lang w:val="en-US"/>
                        </w:rPr>
                        <w:t xml:space="preserve">What is the </w:t>
                      </w:r>
                      <w:r w:rsidR="00E20A44" w:rsidRPr="00B37397">
                        <w:rPr>
                          <w:rFonts w:cs="Arial"/>
                          <w:b/>
                          <w:color w:val="353535"/>
                          <w:lang w:val="en-US"/>
                        </w:rPr>
                        <w:t>FATF</w:t>
                      </w:r>
                      <w:r w:rsidRPr="00B37397">
                        <w:rPr>
                          <w:rFonts w:cs="Arial"/>
                          <w:b/>
                          <w:color w:val="353535"/>
                          <w:lang w:val="en-US"/>
                        </w:rPr>
                        <w:t>?</w:t>
                      </w:r>
                    </w:p>
                    <w:p w:rsidR="00A50D0B" w:rsidRPr="0001393B" w:rsidRDefault="00A34229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A34229">
                        <w:rPr>
                          <w:rFonts w:cs="Arial"/>
                          <w:color w:val="353535"/>
                          <w:lang w:val="en-US"/>
                        </w:rPr>
                        <w:t>The Financial Action Task Force (FATF) is an</w:t>
                      </w:r>
                      <w:r>
                        <w:rPr>
                          <w:rFonts w:cs="Arial"/>
                          <w:color w:val="353535"/>
                          <w:lang w:val="en-US"/>
                        </w:rPr>
                        <w:t xml:space="preserve"> intergovernmental organization. </w:t>
                      </w:r>
                      <w:r w:rsidRPr="00A34229">
                        <w:rPr>
                          <w:rFonts w:cs="Arial"/>
                          <w:color w:val="353535"/>
                          <w:lang w:val="en-US"/>
                        </w:rPr>
                        <w:t>The FATF focuses on the international fight against money laundering and terrorism financing. Memb</w:t>
                      </w:r>
                      <w:r w:rsidR="00B7108A">
                        <w:rPr>
                          <w:rFonts w:cs="Arial"/>
                          <w:color w:val="353535"/>
                          <w:lang w:val="en-US"/>
                        </w:rPr>
                        <w:t>ers of the FATF, which include t</w:t>
                      </w:r>
                      <w:r w:rsidRPr="00A34229">
                        <w:rPr>
                          <w:rFonts w:cs="Arial"/>
                          <w:color w:val="353535"/>
                          <w:lang w:val="en-US"/>
                        </w:rPr>
                        <w:t>he Netherlands, are bound by recommendations with regard to money laundering</w:t>
                      </w:r>
                      <w:r w:rsidR="000950CF" w:rsidRPr="00A34229">
                        <w:rPr>
                          <w:rFonts w:cs="Arial"/>
                          <w:color w:val="353535"/>
                          <w:lang w:val="en-US"/>
                        </w:rPr>
                        <w:t xml:space="preserve"> and terrorism financing</w:t>
                      </w:r>
                      <w:r w:rsidRPr="00A34229">
                        <w:rPr>
                          <w:rFonts w:cs="Arial"/>
                          <w:color w:val="353535"/>
                          <w:lang w:val="en-US"/>
                        </w:rPr>
                        <w:t>.</w:t>
                      </w:r>
                      <w:r>
                        <w:rPr>
                          <w:rFonts w:cs="Arial"/>
                          <w:color w:val="353535"/>
                          <w:lang w:val="en-US"/>
                        </w:rPr>
                        <w:t xml:space="preserve"> </w:t>
                      </w:r>
                      <w:r w:rsidR="00CE52D3">
                        <w:rPr>
                          <w:rFonts w:cs="Arial"/>
                          <w:color w:val="353535"/>
                          <w:lang w:val="en-US"/>
                        </w:rPr>
                        <w:t>In July 2019, the FATF issued guidance on ‘Virtual Assets and Related Providers’, that is</w:t>
                      </w:r>
                      <w:r w:rsidR="00515455">
                        <w:rPr>
                          <w:rFonts w:cs="Arial"/>
                          <w:color w:val="353535"/>
                          <w:lang w:val="en-US"/>
                        </w:rPr>
                        <w:t xml:space="preserve"> very</w:t>
                      </w:r>
                      <w:r w:rsidR="00CE52D3">
                        <w:rPr>
                          <w:rFonts w:cs="Arial"/>
                          <w:color w:val="353535"/>
                          <w:lang w:val="en-US"/>
                        </w:rPr>
                        <w:t xml:space="preserve"> likely to have an impact on </w:t>
                      </w:r>
                      <w:r w:rsidR="00515455">
                        <w:rPr>
                          <w:rFonts w:cs="Arial"/>
                          <w:color w:val="353535"/>
                          <w:lang w:val="en-US"/>
                        </w:rPr>
                        <w:t>the scope of the current legislative framework regarding cry</w:t>
                      </w:r>
                      <w:r w:rsidR="00B7108A">
                        <w:rPr>
                          <w:rFonts w:cs="Arial"/>
                          <w:color w:val="353535"/>
                          <w:lang w:val="en-US"/>
                        </w:rPr>
                        <w:t>pto in t</w:t>
                      </w:r>
                      <w:r w:rsidR="00515455">
                        <w:rPr>
                          <w:rFonts w:cs="Arial"/>
                          <w:color w:val="353535"/>
                          <w:lang w:val="en-US"/>
                        </w:rPr>
                        <w:t xml:space="preserve">he Netherlands. </w:t>
                      </w:r>
                    </w:p>
                    <w:p w:rsidR="00A50D0B" w:rsidRPr="0001393B" w:rsidRDefault="00A50D0B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</w:p>
                    <w:p w:rsidR="00DC4838" w:rsidRPr="00075DCE" w:rsidRDefault="00DC4838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7397"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-285750</wp:posOffset>
                </wp:positionH>
                <wp:positionV relativeFrom="paragraph">
                  <wp:posOffset>210820</wp:posOffset>
                </wp:positionV>
                <wp:extent cx="3009900" cy="1685925"/>
                <wp:effectExtent l="0" t="0" r="0" b="952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709" w:rsidRPr="0001393B" w:rsidRDefault="004C7B0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1393B">
                              <w:rPr>
                                <w:b/>
                                <w:lang w:val="en-US"/>
                              </w:rPr>
                              <w:t>What is the assessment</w:t>
                            </w:r>
                            <w:r w:rsidR="00184709" w:rsidRPr="0001393B">
                              <w:rPr>
                                <w:b/>
                                <w:lang w:val="en-US"/>
                              </w:rPr>
                              <w:t xml:space="preserve"> of</w:t>
                            </w:r>
                            <w:r w:rsidRPr="0001393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184709" w:rsidRPr="0001393B">
                              <w:rPr>
                                <w:b/>
                                <w:lang w:val="en-US"/>
                              </w:rPr>
                              <w:t>p</w:t>
                            </w:r>
                            <w:r w:rsidRPr="0001393B">
                              <w:rPr>
                                <w:b/>
                                <w:lang w:val="en-US"/>
                              </w:rPr>
                              <w:t>olicymakers and co-policymakers?</w:t>
                            </w:r>
                          </w:p>
                          <w:p w:rsidR="00E20A44" w:rsidRPr="0001393B" w:rsidRDefault="00184709" w:rsidP="00184709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A precondition for registration is that </w:t>
                            </w:r>
                            <w:r w:rsidR="008D5B60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(co-) 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policymakers are assessed for fitness and propriety</w:t>
                            </w:r>
                            <w:r w:rsidR="00E20A44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. </w:t>
                            </w:r>
                          </w:p>
                          <w:p w:rsidR="00184709" w:rsidRPr="0001393B" w:rsidRDefault="00184709" w:rsidP="00184709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A fit and proper assessment</w:t>
                            </w:r>
                            <w:r w:rsidR="00CE52D3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for existing parties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takes place</w:t>
                            </w:r>
                            <w:r w:rsidR="00CE52D3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during the registration phase. After that, such </w:t>
                            </w:r>
                            <w:proofErr w:type="spellStart"/>
                            <w:r w:rsidR="00CE52D3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assesments</w:t>
                            </w:r>
                            <w:proofErr w:type="spellEnd"/>
                            <w:r w:rsidR="00CE52D3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take place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when a supervised institution proposes to appoint a management or supervisory board member</w:t>
                            </w:r>
                            <w:r w:rsidR="00E20A44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. </w:t>
                            </w:r>
                            <w:r w:rsidR="00A42793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This also applies when a previously assessed management or supervisory board member is given a different position or remit.</w:t>
                            </w:r>
                          </w:p>
                          <w:p w:rsidR="00184709" w:rsidRPr="0001393B" w:rsidRDefault="001847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6" o:spid="_x0000_s1033" type="#_x0000_t202" style="position:absolute;margin-left:-22.5pt;margin-top:16.6pt;width:237pt;height:1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" fillcolor="white [3201]" stroked="f" strokeweight=".5pt">
                <v:textbox>
                  <w:txbxContent>
                    <w:p w:rsidR="00184709" w:rsidRPr="0001393B" w:rsidRDefault="004C7B0A">
                      <w:pPr>
                        <w:rPr>
                          <w:b/>
                          <w:lang w:val="en-US"/>
                        </w:rPr>
                      </w:pPr>
                      <w:r w:rsidRPr="0001393B">
                        <w:rPr>
                          <w:b/>
                          <w:lang w:val="en-US"/>
                        </w:rPr>
                        <w:t>What is the assessment</w:t>
                      </w:r>
                      <w:r w:rsidR="00184709" w:rsidRPr="0001393B">
                        <w:rPr>
                          <w:b/>
                          <w:lang w:val="en-US"/>
                        </w:rPr>
                        <w:t xml:space="preserve"> of</w:t>
                      </w:r>
                      <w:r w:rsidRPr="0001393B">
                        <w:rPr>
                          <w:b/>
                          <w:lang w:val="en-US"/>
                        </w:rPr>
                        <w:t xml:space="preserve"> </w:t>
                      </w:r>
                      <w:r w:rsidR="00184709" w:rsidRPr="0001393B">
                        <w:rPr>
                          <w:b/>
                          <w:lang w:val="en-US"/>
                        </w:rPr>
                        <w:t>p</w:t>
                      </w:r>
                      <w:r w:rsidRPr="0001393B">
                        <w:rPr>
                          <w:b/>
                          <w:lang w:val="en-US"/>
                        </w:rPr>
                        <w:t>olicymakers and co-policymakers?</w:t>
                      </w:r>
                    </w:p>
                    <w:p w:rsidR="00E20A44" w:rsidRPr="0001393B" w:rsidRDefault="00184709" w:rsidP="00184709">
                      <w:pPr>
                        <w:jc w:val="both"/>
                        <w:rPr>
                          <w:rFonts w:cs="Arial"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A precondition for registration is that </w:t>
                      </w:r>
                      <w:r w:rsidR="008D5B60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(co-) 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>policymakers are assessed for fitness and propriety</w:t>
                      </w:r>
                      <w:r w:rsidR="00E20A44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. </w:t>
                      </w:r>
                    </w:p>
                    <w:p w:rsidR="00184709" w:rsidRPr="0001393B" w:rsidRDefault="00184709" w:rsidP="00184709">
                      <w:pPr>
                        <w:jc w:val="both"/>
                        <w:rPr>
                          <w:rFonts w:cs="Arial"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>A fit and proper assessment</w:t>
                      </w:r>
                      <w:r w:rsidR="00CE52D3">
                        <w:rPr>
                          <w:rFonts w:cs="Arial"/>
                          <w:color w:val="353535"/>
                          <w:lang w:val="en"/>
                        </w:rPr>
                        <w:t xml:space="preserve"> for existing parties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takes place</w:t>
                      </w:r>
                      <w:r w:rsidR="00CE52D3">
                        <w:rPr>
                          <w:rFonts w:cs="Arial"/>
                          <w:color w:val="353535"/>
                          <w:lang w:val="en"/>
                        </w:rPr>
                        <w:t xml:space="preserve"> during the registration phase. After that, such </w:t>
                      </w:r>
                      <w:proofErr w:type="spellStart"/>
                      <w:r w:rsidR="00CE52D3">
                        <w:rPr>
                          <w:rFonts w:cs="Arial"/>
                          <w:color w:val="353535"/>
                          <w:lang w:val="en"/>
                        </w:rPr>
                        <w:t>assesments</w:t>
                      </w:r>
                      <w:proofErr w:type="spellEnd"/>
                      <w:r w:rsidR="00CE52D3">
                        <w:rPr>
                          <w:rFonts w:cs="Arial"/>
                          <w:color w:val="353535"/>
                          <w:lang w:val="en"/>
                        </w:rPr>
                        <w:t xml:space="preserve"> take place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when a supervised institution proposes to appoint a management or supervisory board member</w:t>
                      </w:r>
                      <w:r w:rsidR="00E20A44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. </w:t>
                      </w:r>
                      <w:r w:rsidR="00A42793" w:rsidRPr="0001393B">
                        <w:rPr>
                          <w:rFonts w:cs="Arial"/>
                          <w:color w:val="353535"/>
                          <w:lang w:val="en"/>
                        </w:rPr>
                        <w:t>This also applies when a previously assessed management or supervisory board member is given a different position or remit.</w:t>
                      </w:r>
                    </w:p>
                    <w:p w:rsidR="00184709" w:rsidRPr="0001393B" w:rsidRDefault="001847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Default="00DC4838" w:rsidP="00DC4838">
      <w:pPr>
        <w:rPr>
          <w:lang w:val="en-US"/>
        </w:rPr>
      </w:pPr>
    </w:p>
    <w:p w:rsidR="00DC4838" w:rsidRDefault="00DC4838" w:rsidP="00DC4838">
      <w:pPr>
        <w:tabs>
          <w:tab w:val="left" w:pos="2280"/>
        </w:tabs>
        <w:rPr>
          <w:lang w:val="en-US"/>
        </w:rPr>
      </w:pPr>
      <w:r>
        <w:rPr>
          <w:lang w:val="en-US"/>
        </w:rPr>
        <w:tab/>
      </w:r>
    </w:p>
    <w:p w:rsidR="00DC4838" w:rsidRPr="00DC4838" w:rsidRDefault="00DC4838" w:rsidP="00DC4838">
      <w:pPr>
        <w:rPr>
          <w:lang w:val="en-US"/>
        </w:rPr>
      </w:pPr>
    </w:p>
    <w:p w:rsidR="00831AB4" w:rsidRPr="00DC4838" w:rsidRDefault="00B37397" w:rsidP="0001393B">
      <w:pPr>
        <w:rPr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4895784</wp:posOffset>
            </wp:positionH>
            <wp:positionV relativeFrom="paragraph">
              <wp:posOffset>732485</wp:posOffset>
            </wp:positionV>
            <wp:extent cx="1533525" cy="619125"/>
            <wp:effectExtent l="0" t="0" r="9525" b="9525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6B4"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-304165</wp:posOffset>
                </wp:positionH>
                <wp:positionV relativeFrom="paragraph">
                  <wp:posOffset>914903</wp:posOffset>
                </wp:positionV>
                <wp:extent cx="3019425" cy="704850"/>
                <wp:effectExtent l="0" t="0" r="9525" b="0"/>
                <wp:wrapNone/>
                <wp:docPr id="42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B0A" w:rsidRPr="0001393B" w:rsidRDefault="00E20A44" w:rsidP="0001393B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  <w:r w:rsidRPr="0001393B">
                              <w:rPr>
                                <w:i/>
                                <w:lang w:val="en-US"/>
                              </w:rPr>
                              <w:t>Note: This information may be subject to changes as this information is based on the proposed Act implementing amendments to the Fourth Anti-Money Laundering Directive of 1 July 2019.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2" o:spid="_x0000_s1034" type="#_x0000_t202" style="position:absolute;margin-left:-23.95pt;margin-top:72.05pt;width:237.7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" fillcolor="white [3201]" stroked="f" strokeweight=".5pt">
                <v:textbox>
                  <w:txbxContent>
                    <w:p w:rsidR="004C7B0A" w:rsidRPr="0001393B" w:rsidRDefault="00E20A44" w:rsidP="0001393B">
                      <w:pPr>
                        <w:jc w:val="both"/>
                        <w:rPr>
                          <w:i/>
                          <w:lang w:val="en-US"/>
                        </w:rPr>
                      </w:pPr>
                      <w:r w:rsidRPr="0001393B">
                        <w:rPr>
                          <w:i/>
                          <w:lang w:val="en-US"/>
                        </w:rPr>
                        <w:t>Note: This information may be subject to changes as this information is based on the proposed Act implementing amendments to the Fourth Anti-Money Laundering Directive of 1 July 2019.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1AB4" w:rsidRPr="00DC4838" w:rsidSect="00075D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54" w:right="1559" w:bottom="284" w:left="147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DF" w:rsidRDefault="00C84ADF" w:rsidP="000A2A03">
      <w:pPr>
        <w:spacing w:line="240" w:lineRule="auto"/>
      </w:pPr>
      <w:r>
        <w:separator/>
      </w:r>
    </w:p>
  </w:endnote>
  <w:endnote w:type="continuationSeparator" w:id="0">
    <w:p w:rsidR="00C84ADF" w:rsidRDefault="00C84ADF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3B" w:rsidRDefault="00013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3B" w:rsidRDefault="000139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3B" w:rsidRDefault="00013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DF" w:rsidRDefault="00C84ADF" w:rsidP="000A2A03">
      <w:pPr>
        <w:spacing w:line="240" w:lineRule="auto"/>
      </w:pPr>
      <w:r>
        <w:separator/>
      </w:r>
    </w:p>
  </w:footnote>
  <w:footnote w:type="continuationSeparator" w:id="0">
    <w:p w:rsidR="00C84ADF" w:rsidRDefault="00C84ADF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3B" w:rsidRDefault="00013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3B" w:rsidRDefault="0001393B">
    <w:pPr>
      <w:pStyle w:val="Header"/>
    </w:pPr>
  </w:p>
  <w:p w:rsidR="0001393B" w:rsidRDefault="0001393B">
    <w:pPr>
      <w:pStyle w:val="Header"/>
    </w:pPr>
  </w:p>
  <w:p w:rsidR="0001393B" w:rsidRDefault="0001393B">
    <w:pPr>
      <w:pStyle w:val="Header"/>
    </w:pPr>
  </w:p>
  <w:p w:rsidR="0001393B" w:rsidRDefault="0001393B">
    <w:pPr>
      <w:pStyle w:val="Header"/>
    </w:pPr>
  </w:p>
  <w:p w:rsidR="0001393B" w:rsidRDefault="0001393B">
    <w:pPr>
      <w:pStyle w:val="Header"/>
    </w:pPr>
  </w:p>
  <w:p w:rsidR="005C0F2E" w:rsidRDefault="00363C16">
    <w:pPr>
      <w:pStyle w:val="Header"/>
    </w:pP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1752D8" wp14:editId="15D20036">
              <wp:simplePos x="0" y="0"/>
              <wp:positionH relativeFrom="page">
                <wp:posOffset>929005</wp:posOffset>
              </wp:positionH>
              <wp:positionV relativeFrom="page">
                <wp:posOffset>360045</wp:posOffset>
              </wp:positionV>
              <wp:extent cx="3532680" cy="97920"/>
              <wp:effectExtent l="0" t="0" r="1079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680" cy="97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C16" w:rsidRPr="00F424B5" w:rsidRDefault="00363C16" w:rsidP="00363C16">
                          <w:pPr>
                            <w:pStyle w:val="DNBmark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752D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5" type="#_x0000_t202" style="position:absolute;margin-left:73.15pt;margin-top:28.35pt;width:278.15pt;height:7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" filled="f" stroked="f" strokeweight=".5pt">
              <v:textbox inset="0,0,0,0">
                <w:txbxContent>
                  <w:p w:rsidR="00363C16" w:rsidRPr="00F424B5" w:rsidRDefault="00363C16" w:rsidP="00363C16">
                    <w:pPr>
                      <w:pStyle w:val="DNBmarking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5924">
      <w:rPr>
        <w:noProof/>
        <w:lang w:eastAsia="nl-N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37" name="dnb_p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b_public" descr="R:\Projecten\372_TID_DNB_DIRECT\Develop\png_classificatie\pos\DNB_cl1_public-po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38" name="dnb_un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b_unrestricted" descr="R:\Projecten\372_TID_DNB_DIRECT\Develop\png_classificatie\pos\DNB_cl2_unrestricted-po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39" name="dnb_re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nb_restricted" descr="R:\Projecten\372_TID_DNB_DIRECT\Develop\png_classificatie\pos\DNB_cl3_restricted-pos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40" name="dnb_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nb_confidential" descr="R:\Projecten\372_TID_DNB_DIRECT\Develop\png_classificatie\pos\DNB_cl4_confidential-pos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6520"/>
          <wp:effectExtent l="0" t="0" r="0" b="0"/>
          <wp:wrapNone/>
          <wp:docPr id="41" name="dn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nb_secret" descr="R:\Projecten\372_TID_DNB_DIRECT\Develop\png_classificatie\pos\DNB_cl5_secret-pos.p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3B" w:rsidRDefault="000139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0A7486"/>
    <w:multiLevelType w:val="hybridMultilevel"/>
    <w:tmpl w:val="2A7C48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3035B"/>
    <w:multiLevelType w:val="multilevel"/>
    <w:tmpl w:val="EB4E9C68"/>
    <w:lvl w:ilvl="0">
      <w:start w:val="1"/>
      <w:numFmt w:val="decimal"/>
      <w:pStyle w:val="Heading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75A33CD"/>
    <w:multiLevelType w:val="hybridMultilevel"/>
    <w:tmpl w:val="041AC6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D6515D"/>
    <w:multiLevelType w:val="hybridMultilevel"/>
    <w:tmpl w:val="5C8CE4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B4"/>
    <w:rsid w:val="0001393B"/>
    <w:rsid w:val="00024B12"/>
    <w:rsid w:val="00064BD2"/>
    <w:rsid w:val="00072501"/>
    <w:rsid w:val="00075DCE"/>
    <w:rsid w:val="000950CF"/>
    <w:rsid w:val="000A2A03"/>
    <w:rsid w:val="000C7F56"/>
    <w:rsid w:val="000D36F9"/>
    <w:rsid w:val="000E543C"/>
    <w:rsid w:val="00102AE8"/>
    <w:rsid w:val="00184709"/>
    <w:rsid w:val="00187ADB"/>
    <w:rsid w:val="001A1B3B"/>
    <w:rsid w:val="001B6FB1"/>
    <w:rsid w:val="00215B8E"/>
    <w:rsid w:val="00254C72"/>
    <w:rsid w:val="00276CD5"/>
    <w:rsid w:val="00282E10"/>
    <w:rsid w:val="0028552B"/>
    <w:rsid w:val="002A76D0"/>
    <w:rsid w:val="003252FB"/>
    <w:rsid w:val="00336942"/>
    <w:rsid w:val="00363C16"/>
    <w:rsid w:val="0038423D"/>
    <w:rsid w:val="003B524E"/>
    <w:rsid w:val="003F6E85"/>
    <w:rsid w:val="00453D32"/>
    <w:rsid w:val="00472C24"/>
    <w:rsid w:val="00490378"/>
    <w:rsid w:val="004B2E02"/>
    <w:rsid w:val="004C7B0A"/>
    <w:rsid w:val="004D2FAA"/>
    <w:rsid w:val="004E29B0"/>
    <w:rsid w:val="004E4835"/>
    <w:rsid w:val="004F785D"/>
    <w:rsid w:val="005132A6"/>
    <w:rsid w:val="0051444B"/>
    <w:rsid w:val="00515455"/>
    <w:rsid w:val="00535054"/>
    <w:rsid w:val="00537346"/>
    <w:rsid w:val="00540AB7"/>
    <w:rsid w:val="005476A5"/>
    <w:rsid w:val="00555924"/>
    <w:rsid w:val="00556BF1"/>
    <w:rsid w:val="0059542B"/>
    <w:rsid w:val="005A4644"/>
    <w:rsid w:val="005C0F2E"/>
    <w:rsid w:val="00604781"/>
    <w:rsid w:val="00624786"/>
    <w:rsid w:val="00625831"/>
    <w:rsid w:val="00635E23"/>
    <w:rsid w:val="006C229E"/>
    <w:rsid w:val="006C6EFC"/>
    <w:rsid w:val="007513D3"/>
    <w:rsid w:val="00777F98"/>
    <w:rsid w:val="007A5E04"/>
    <w:rsid w:val="007B659D"/>
    <w:rsid w:val="007F6997"/>
    <w:rsid w:val="00822D5C"/>
    <w:rsid w:val="00831AB4"/>
    <w:rsid w:val="00871F4A"/>
    <w:rsid w:val="008D5B60"/>
    <w:rsid w:val="008E69D6"/>
    <w:rsid w:val="008F418F"/>
    <w:rsid w:val="009073CF"/>
    <w:rsid w:val="009147BF"/>
    <w:rsid w:val="0093146F"/>
    <w:rsid w:val="0094396C"/>
    <w:rsid w:val="009B45A6"/>
    <w:rsid w:val="009B5D9A"/>
    <w:rsid w:val="009E3D1F"/>
    <w:rsid w:val="00A14848"/>
    <w:rsid w:val="00A16E37"/>
    <w:rsid w:val="00A23966"/>
    <w:rsid w:val="00A34229"/>
    <w:rsid w:val="00A42793"/>
    <w:rsid w:val="00A43539"/>
    <w:rsid w:val="00A435D2"/>
    <w:rsid w:val="00A50D0B"/>
    <w:rsid w:val="00A65AEB"/>
    <w:rsid w:val="00A72B58"/>
    <w:rsid w:val="00AE4836"/>
    <w:rsid w:val="00B224FD"/>
    <w:rsid w:val="00B37397"/>
    <w:rsid w:val="00B7108A"/>
    <w:rsid w:val="00C071BA"/>
    <w:rsid w:val="00C31C05"/>
    <w:rsid w:val="00C355F0"/>
    <w:rsid w:val="00C82654"/>
    <w:rsid w:val="00C84ADF"/>
    <w:rsid w:val="00C93A75"/>
    <w:rsid w:val="00CA45F8"/>
    <w:rsid w:val="00CE52D3"/>
    <w:rsid w:val="00D10DF7"/>
    <w:rsid w:val="00D27A58"/>
    <w:rsid w:val="00D448F8"/>
    <w:rsid w:val="00D73794"/>
    <w:rsid w:val="00DA7D53"/>
    <w:rsid w:val="00DC4838"/>
    <w:rsid w:val="00DF02A4"/>
    <w:rsid w:val="00E05E36"/>
    <w:rsid w:val="00E20A44"/>
    <w:rsid w:val="00E25CA1"/>
    <w:rsid w:val="00E556B4"/>
    <w:rsid w:val="00E7266F"/>
    <w:rsid w:val="00E81517"/>
    <w:rsid w:val="00EA64E0"/>
    <w:rsid w:val="00EA6595"/>
    <w:rsid w:val="00EA7370"/>
    <w:rsid w:val="00ED1905"/>
    <w:rsid w:val="00EE238F"/>
    <w:rsid w:val="00F1506D"/>
    <w:rsid w:val="00F17945"/>
    <w:rsid w:val="00F6785E"/>
    <w:rsid w:val="00F90D70"/>
    <w:rsid w:val="00FC277F"/>
    <w:rsid w:val="00F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512042-C82B-4505-9E1C-A04D8336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539"/>
    <w:pPr>
      <w:spacing w:after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52B"/>
    <w:pPr>
      <w:keepNext/>
      <w:keepLines/>
      <w:spacing w:before="227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D9A"/>
    <w:rPr>
      <w:rFonts w:ascii="Verdana" w:hAnsi="Verdana"/>
      <w:sz w:val="17"/>
    </w:rPr>
  </w:style>
  <w:style w:type="paragraph" w:styleId="Footer">
    <w:name w:val="footer"/>
    <w:basedOn w:val="Normal"/>
    <w:link w:val="Footer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Normal"/>
    <w:next w:val="Normal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Normal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DefaultParagraphFont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Normal"/>
    <w:uiPriority w:val="1"/>
    <w:qFormat/>
    <w:rsid w:val="00490378"/>
    <w:pPr>
      <w:numPr>
        <w:ilvl w:val="1"/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9147B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147BF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9147B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147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leReference">
    <w:name w:val="Subtle Reference"/>
    <w:basedOn w:val="DefaultParagraphFont"/>
    <w:uiPriority w:val="31"/>
    <w:semiHidden/>
    <w:rsid w:val="009147B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9147B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9147BF"/>
    <w:pPr>
      <w:ind w:left="720"/>
      <w:contextualSpacing/>
    </w:pPr>
  </w:style>
  <w:style w:type="paragraph" w:styleId="NoSpacing">
    <w:name w:val="No Spacing"/>
    <w:uiPriority w:val="1"/>
    <w:semiHidden/>
    <w:rsid w:val="004F785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TOC1">
    <w:name w:val="toc 1"/>
    <w:basedOn w:val="Normal"/>
    <w:next w:val="Normal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TOC3">
    <w:name w:val="toc 3"/>
    <w:basedOn w:val="Normal"/>
    <w:next w:val="Normal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DefaultParagraphFont"/>
    <w:uiPriority w:val="99"/>
    <w:unhideWhenUsed/>
    <w:rsid w:val="00C071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4848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Normal"/>
    <w:next w:val="Normal"/>
    <w:uiPriority w:val="1"/>
    <w:qFormat/>
    <w:rsid w:val="00A14848"/>
    <w:pPr>
      <w:spacing w:line="170" w:lineRule="atLeast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NBmarking">
    <w:name w:val="DNBmarking"/>
    <w:basedOn w:val="Normal"/>
    <w:qFormat/>
    <w:rsid w:val="00363C16"/>
    <w:pPr>
      <w:spacing w:line="240" w:lineRule="auto"/>
    </w:pPr>
    <w:rPr>
      <w:rFonts w:asciiTheme="minorHAnsi" w:hAnsiTheme="minorHAnsi"/>
      <w:color w:val="ADADAD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rsid w:val="004C7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ezicht.dnb.nl/en/4/5/6/51-204662.jsp?s=n" TargetMode="External"/><Relationship Id="rId13" Type="http://schemas.openxmlformats.org/officeDocument/2006/relationships/hyperlink" Target="mailto:crypto@dnb.n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oezicht.dnb.nl/4/5/6/50-204662.jsp?s=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ezicht.dnb.nl/en/4/5/6/51-204662.jsp?s=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rypto@dnb.n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toezicht.dnb.nl/4/5/6/50-204662.jsp?s=n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0715-71FC-4F5E-A8F7-1025188C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Rentes, W.M. (Welmoed) (THI_ECIS)</dc:creator>
  <cp:keywords/>
  <dc:description/>
  <cp:lastModifiedBy>Abdullah, H.A.A. (Hodo) (COM_COM)</cp:lastModifiedBy>
  <cp:revision>2</cp:revision>
  <dcterms:created xsi:type="dcterms:W3CDTF">2020-12-22T15:29:00Z</dcterms:created>
  <dcterms:modified xsi:type="dcterms:W3CDTF">2020-12-22T15:29:00Z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b_marking">
    <vt:lpwstr> </vt:lpwstr>
  </property>
  <property fmtid="{D5CDD505-2E9C-101B-9397-08002B2CF9AE}" pid="3" name="DNB-SecurityLevel">
    <vt:lpwstr>1;#DNB-PUBLIC|6586d48a-5a89-4714-9622-7fec6f978734</vt:lpwstr>
  </property>
</Properties>
</file>