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43" w:rsidRPr="00B815FC" w:rsidRDefault="00B815FC" w:rsidP="00F90D70">
      <w:pPr>
        <w:rPr>
          <w:b/>
          <w:sz w:val="28"/>
          <w:szCs w:val="28"/>
          <w:lang w:val="en-US"/>
        </w:rPr>
      </w:pPr>
      <w:bookmarkStart w:id="0" w:name="_GoBack"/>
      <w:bookmarkEnd w:id="0"/>
      <w:r w:rsidRPr="00B815FC">
        <w:rPr>
          <w:b/>
          <w:sz w:val="28"/>
          <w:szCs w:val="28"/>
          <w:lang w:val="en-US"/>
        </w:rPr>
        <w:t>Explanatory notes changes</w:t>
      </w:r>
      <w:r w:rsidR="00511343" w:rsidRPr="00B815FC">
        <w:rPr>
          <w:b/>
          <w:sz w:val="28"/>
          <w:szCs w:val="28"/>
          <w:lang w:val="en-US"/>
        </w:rPr>
        <w:t xml:space="preserve"> BSI-ta</w:t>
      </w:r>
      <w:r w:rsidR="0033302C">
        <w:rPr>
          <w:b/>
          <w:sz w:val="28"/>
          <w:szCs w:val="28"/>
          <w:lang w:val="en-US"/>
        </w:rPr>
        <w:t>xonomy version 2</w:t>
      </w:r>
      <w:r w:rsidR="00511343" w:rsidRPr="00B815FC">
        <w:rPr>
          <w:b/>
          <w:sz w:val="28"/>
          <w:szCs w:val="28"/>
          <w:lang w:val="en-US"/>
        </w:rPr>
        <w:t>.0.0</w:t>
      </w:r>
      <w:r w:rsidR="0033302C">
        <w:rPr>
          <w:b/>
          <w:sz w:val="28"/>
          <w:szCs w:val="28"/>
          <w:lang w:val="en-US"/>
        </w:rPr>
        <w:t xml:space="preserve"> (reporting from 2022)</w:t>
      </w:r>
    </w:p>
    <w:p w:rsidR="00511343" w:rsidRPr="00B815FC" w:rsidRDefault="00511343" w:rsidP="00F90D70">
      <w:pPr>
        <w:rPr>
          <w:b/>
          <w:sz w:val="28"/>
          <w:szCs w:val="28"/>
          <w:lang w:val="en-US"/>
        </w:rPr>
      </w:pPr>
    </w:p>
    <w:p w:rsidR="00511343" w:rsidRDefault="00F26D30" w:rsidP="00F90D70">
      <w:r>
        <w:t xml:space="preserve">Naar aanleiding van </w:t>
      </w:r>
      <w:r w:rsidR="00152AFC">
        <w:t>de</w:t>
      </w:r>
      <w:r>
        <w:t xml:space="preserve"> update met betrekking tot de BSI-verordening wordt de huidige taxonomie aangepast. Dit bestand in combinatie met het </w:t>
      </w:r>
      <w:r w:rsidRPr="00067511">
        <w:t>Excel</w:t>
      </w:r>
      <w:r w:rsidR="0033302C" w:rsidRPr="00067511">
        <w:t xml:space="preserve"> </w:t>
      </w:r>
      <w:r w:rsidR="00E4559B">
        <w:t xml:space="preserve">bestand </w:t>
      </w:r>
      <w:r w:rsidR="00252D2E" w:rsidRPr="00067511">
        <w:t xml:space="preserve">‘Changes BSI </w:t>
      </w:r>
      <w:proofErr w:type="spellStart"/>
      <w:r w:rsidR="00252D2E" w:rsidRPr="00067511">
        <w:t>taxonomy</w:t>
      </w:r>
      <w:proofErr w:type="spellEnd"/>
      <w:r w:rsidR="00252D2E" w:rsidRPr="00067511">
        <w:t xml:space="preserve"> </w:t>
      </w:r>
      <w:proofErr w:type="spellStart"/>
      <w:r w:rsidR="00252D2E" w:rsidRPr="00067511">
        <w:t>version</w:t>
      </w:r>
      <w:proofErr w:type="spellEnd"/>
      <w:r w:rsidR="00252D2E" w:rsidRPr="00067511">
        <w:t xml:space="preserve"> </w:t>
      </w:r>
      <w:r w:rsidR="00067511" w:rsidRPr="00067511">
        <w:t>2.0.0’</w:t>
      </w:r>
      <w:r w:rsidR="00CB21DA" w:rsidRPr="00067511">
        <w:t xml:space="preserve"> </w:t>
      </w:r>
      <w:r w:rsidR="0033302C" w:rsidRPr="00067511">
        <w:t xml:space="preserve">(zie </w:t>
      </w:r>
      <w:r w:rsidR="0033302C">
        <w:t>voor een toelichting van het Excel bestand het eerste tabblad ‘Readme’ aldaar)</w:t>
      </w:r>
      <w:r>
        <w:t xml:space="preserve"> geven</w:t>
      </w:r>
      <w:r w:rsidR="00C45EEC">
        <w:t xml:space="preserve"> </w:t>
      </w:r>
      <w:r>
        <w:t xml:space="preserve">de definitieve veranderingen aan. </w:t>
      </w:r>
    </w:p>
    <w:p w:rsidR="00F26D30" w:rsidRDefault="00F26D30" w:rsidP="00F90D70"/>
    <w:p w:rsidR="00F26D30" w:rsidRDefault="00F26D30" w:rsidP="00F90D70">
      <w:r>
        <w:t xml:space="preserve">De aanpassingen hebben betrekking op de volgende onderdelen: </w:t>
      </w:r>
    </w:p>
    <w:p w:rsidR="00F26D30" w:rsidRDefault="00F26D30" w:rsidP="00F90D70"/>
    <w:p w:rsidR="00F26D30" w:rsidRPr="0044392D" w:rsidRDefault="00F26D30" w:rsidP="0044392D">
      <w:pPr>
        <w:pStyle w:val="ListParagraph"/>
        <w:numPr>
          <w:ilvl w:val="0"/>
          <w:numId w:val="4"/>
        </w:numPr>
      </w:pPr>
      <w:r w:rsidRPr="0044392D">
        <w:t>Wijzigingen in bestaande formulieren</w:t>
      </w:r>
    </w:p>
    <w:p w:rsidR="00F26D30" w:rsidRDefault="00F26D30" w:rsidP="0044392D">
      <w:pPr>
        <w:pStyle w:val="ListParagraph"/>
        <w:numPr>
          <w:ilvl w:val="0"/>
          <w:numId w:val="4"/>
        </w:numPr>
      </w:pPr>
      <w:r w:rsidRPr="0044392D">
        <w:t>Toevoeging van nieuwe formulieren</w:t>
      </w:r>
    </w:p>
    <w:p w:rsidR="004E6A08" w:rsidRDefault="004E6A08" w:rsidP="004E6A08">
      <w:pPr>
        <w:pStyle w:val="ListParagraph"/>
        <w:numPr>
          <w:ilvl w:val="0"/>
          <w:numId w:val="4"/>
        </w:numPr>
      </w:pPr>
      <w:r w:rsidRPr="0044392D">
        <w:t>Wijzigingen in validatieregels</w:t>
      </w:r>
    </w:p>
    <w:p w:rsidR="00F7040F" w:rsidRPr="00B96C81" w:rsidRDefault="004E6A08" w:rsidP="0044392D">
      <w:pPr>
        <w:pStyle w:val="ListParagraph"/>
        <w:numPr>
          <w:ilvl w:val="0"/>
          <w:numId w:val="4"/>
        </w:numPr>
      </w:pPr>
      <w:r w:rsidRPr="00B96C81">
        <w:t>Wijzigingen in de landenlijst</w:t>
      </w:r>
    </w:p>
    <w:p w:rsidR="00C47858" w:rsidRPr="00B96C81" w:rsidRDefault="00152AFC" w:rsidP="00CB21DA">
      <w:pPr>
        <w:ind w:firstLine="709"/>
      </w:pPr>
      <w:r w:rsidRPr="00B96C81">
        <w:t xml:space="preserve">Appendix.    </w:t>
      </w:r>
      <w:r w:rsidR="004E6A08" w:rsidRPr="00B96C81">
        <w:t>Nieuwe samenhang Tabel groep 5: TG9013</w:t>
      </w:r>
    </w:p>
    <w:p w:rsidR="0006782F" w:rsidRPr="00B96C81" w:rsidRDefault="0006782F" w:rsidP="00152AFC"/>
    <w:p w:rsidR="004E6A08" w:rsidRPr="00B96C81" w:rsidRDefault="0006782F" w:rsidP="00E532CC">
      <w:r w:rsidRPr="00B96C81">
        <w:t xml:space="preserve">Het rapporteren op basis van de nieuwe taxonomie versie 2.0.0 zal voor het eerst voor maandrapporteurs plaatsvinden over de rapportageperiode januari 2022 en voor kwartaalrapporteurs over de rapportageperiode kwartaal I 2022. </w:t>
      </w:r>
    </w:p>
    <w:p w:rsidR="00E532CC" w:rsidRPr="00B96C81" w:rsidRDefault="00E532CC" w:rsidP="004E6A08">
      <w:pPr>
        <w:pStyle w:val="ListParagraph"/>
        <w:ind w:left="1080"/>
        <w:rPr>
          <w:sz w:val="28"/>
          <w:szCs w:val="28"/>
        </w:rPr>
      </w:pPr>
    </w:p>
    <w:p w:rsidR="00C47858" w:rsidRPr="00B96C81" w:rsidRDefault="00C47858" w:rsidP="00C47858">
      <w:pPr>
        <w:rPr>
          <w:b/>
          <w:sz w:val="22"/>
          <w:szCs w:val="22"/>
          <w:lang w:val="en-US"/>
        </w:rPr>
      </w:pPr>
      <w:r w:rsidRPr="00B96C81">
        <w:rPr>
          <w:b/>
          <w:sz w:val="22"/>
          <w:szCs w:val="22"/>
          <w:lang w:val="en-US"/>
        </w:rPr>
        <w:t xml:space="preserve">1. </w:t>
      </w:r>
      <w:proofErr w:type="spellStart"/>
      <w:r w:rsidRPr="00B96C81">
        <w:rPr>
          <w:b/>
          <w:sz w:val="22"/>
          <w:szCs w:val="22"/>
          <w:lang w:val="en-US"/>
        </w:rPr>
        <w:t>Wijzigingen</w:t>
      </w:r>
      <w:proofErr w:type="spellEnd"/>
      <w:r w:rsidRPr="00B96C81">
        <w:rPr>
          <w:b/>
          <w:sz w:val="22"/>
          <w:szCs w:val="22"/>
          <w:lang w:val="en-US"/>
        </w:rPr>
        <w:t xml:space="preserve"> in </w:t>
      </w:r>
      <w:proofErr w:type="spellStart"/>
      <w:r w:rsidRPr="00B96C81">
        <w:rPr>
          <w:b/>
          <w:sz w:val="22"/>
          <w:szCs w:val="22"/>
          <w:lang w:val="en-US"/>
        </w:rPr>
        <w:t>bestaande</w:t>
      </w:r>
      <w:proofErr w:type="spellEnd"/>
      <w:r w:rsidRPr="00B96C81">
        <w:rPr>
          <w:b/>
          <w:sz w:val="22"/>
          <w:szCs w:val="22"/>
          <w:lang w:val="en-US"/>
        </w:rPr>
        <w:t xml:space="preserve"> </w:t>
      </w:r>
      <w:proofErr w:type="spellStart"/>
      <w:r w:rsidRPr="00B96C81">
        <w:rPr>
          <w:b/>
          <w:sz w:val="22"/>
          <w:szCs w:val="22"/>
          <w:lang w:val="en-US"/>
        </w:rPr>
        <w:t>formulieren</w:t>
      </w:r>
      <w:proofErr w:type="spellEnd"/>
    </w:p>
    <w:p w:rsidR="00C47858" w:rsidRPr="00B96C81" w:rsidRDefault="00C47858" w:rsidP="00C47858">
      <w:pPr>
        <w:pStyle w:val="ListParagraph"/>
        <w:rPr>
          <w:sz w:val="28"/>
          <w:szCs w:val="28"/>
          <w:lang w:val="en-US"/>
        </w:rPr>
      </w:pPr>
    </w:p>
    <w:p w:rsidR="00C47858" w:rsidRPr="00B96C81" w:rsidRDefault="00C47858" w:rsidP="00C47858">
      <w:pPr>
        <w:rPr>
          <w:b/>
          <w:lang w:val="en-US"/>
        </w:rPr>
      </w:pPr>
      <w:r w:rsidRPr="00B96C81">
        <w:rPr>
          <w:b/>
          <w:lang w:val="en-US"/>
        </w:rPr>
        <w:t xml:space="preserve">1.1 </w:t>
      </w:r>
      <w:proofErr w:type="spellStart"/>
      <w:r w:rsidRPr="00B96C81">
        <w:rPr>
          <w:b/>
          <w:lang w:val="en-US"/>
        </w:rPr>
        <w:t>Formulier</w:t>
      </w:r>
      <w:proofErr w:type="spellEnd"/>
      <w:r w:rsidRPr="00B96C81">
        <w:rPr>
          <w:b/>
          <w:lang w:val="en-US"/>
        </w:rPr>
        <w:t xml:space="preserve"> T9001HK1 - Debt positions ow</w:t>
      </w:r>
      <w:r w:rsidR="001D77CF" w:rsidRPr="00B96C81">
        <w:rPr>
          <w:b/>
          <w:lang w:val="en-US"/>
        </w:rPr>
        <w:t>n</w:t>
      </w:r>
      <w:r w:rsidRPr="00B96C81">
        <w:rPr>
          <w:b/>
          <w:lang w:val="en-US"/>
        </w:rPr>
        <w:t>ed by Dutch MFIs to counterparties in MFIs, government and private sector</w:t>
      </w:r>
    </w:p>
    <w:p w:rsidR="00C47858" w:rsidRPr="00B96C81" w:rsidRDefault="00C47858" w:rsidP="00C47858">
      <w:r w:rsidRPr="00B96C81">
        <w:t xml:space="preserve">Op formulier T9001HK1 moeten de </w:t>
      </w:r>
      <w:r w:rsidR="00C45EEC" w:rsidRPr="00B96C81">
        <w:t xml:space="preserve">standen per land, uitgesplitst naar tegensector, looptijd en valuta gerapporteerd worden. </w:t>
      </w:r>
    </w:p>
    <w:p w:rsidR="00C45EEC" w:rsidRPr="00B96C81" w:rsidRDefault="00C45EEC" w:rsidP="00C47858"/>
    <w:p w:rsidR="00C47858" w:rsidRPr="00B96C81" w:rsidRDefault="00C45EEC" w:rsidP="00C47858">
      <w:r w:rsidRPr="00B96C81">
        <w:t xml:space="preserve">Tegensector </w:t>
      </w:r>
      <w:proofErr w:type="spellStart"/>
      <w:r w:rsidRPr="00B96C81">
        <w:t>Other</w:t>
      </w:r>
      <w:proofErr w:type="spellEnd"/>
      <w:r w:rsidRPr="00B96C81">
        <w:t xml:space="preserve"> financial </w:t>
      </w:r>
      <w:proofErr w:type="spellStart"/>
      <w:r w:rsidRPr="00B96C81">
        <w:t>institutions</w:t>
      </w:r>
      <w:proofErr w:type="spellEnd"/>
      <w:r w:rsidRPr="00B96C81">
        <w:t xml:space="preserve"> (‘</w:t>
      </w:r>
      <w:proofErr w:type="spellStart"/>
      <w:r w:rsidRPr="00B96C81">
        <w:t>OFIs</w:t>
      </w:r>
      <w:proofErr w:type="spellEnd"/>
      <w:r w:rsidRPr="00B96C81">
        <w:t xml:space="preserve">’) krijgt de volgende </w:t>
      </w:r>
      <w:r w:rsidR="001148A6" w:rsidRPr="00B96C81">
        <w:t>tegensector</w:t>
      </w:r>
      <w:r w:rsidRPr="00B96C81">
        <w:t xml:space="preserve">uitsplitsing: </w:t>
      </w:r>
    </w:p>
    <w:p w:rsidR="00C45EEC" w:rsidRPr="00B96C81" w:rsidRDefault="00C45EEC" w:rsidP="00C47858"/>
    <w:p w:rsidR="00C45EEC" w:rsidRPr="00B96C81" w:rsidRDefault="00C45EEC" w:rsidP="00C45EEC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Investment funds</w:t>
      </w:r>
    </w:p>
    <w:p w:rsidR="00C45EEC" w:rsidRPr="00B96C81" w:rsidRDefault="00C45EEC" w:rsidP="00C45EEC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Other financial intermediaries</w:t>
      </w:r>
    </w:p>
    <w:p w:rsidR="00C45EEC" w:rsidRPr="00B96C81" w:rsidRDefault="00C45EEC" w:rsidP="00C45EEC">
      <w:pPr>
        <w:ind w:firstLine="709"/>
        <w:rPr>
          <w:lang w:val="en-US"/>
        </w:rPr>
      </w:pPr>
      <w:r w:rsidRPr="00B96C81">
        <w:rPr>
          <w:lang w:val="en-US"/>
        </w:rPr>
        <w:t>-</w:t>
      </w:r>
      <w:r w:rsidRPr="00B96C81">
        <w:rPr>
          <w:lang w:val="en-US"/>
        </w:rPr>
        <w:tab/>
        <w:t>Financial vehicle corporations</w:t>
      </w:r>
    </w:p>
    <w:p w:rsidR="00C45EEC" w:rsidRPr="00B96C81" w:rsidRDefault="00C45EEC" w:rsidP="00C45EEC">
      <w:pPr>
        <w:ind w:firstLine="709"/>
        <w:rPr>
          <w:lang w:val="en-US"/>
        </w:rPr>
      </w:pPr>
      <w:r w:rsidRPr="00B96C81">
        <w:rPr>
          <w:lang w:val="en-US"/>
        </w:rPr>
        <w:t>-</w:t>
      </w:r>
      <w:r w:rsidRPr="00B96C81">
        <w:rPr>
          <w:lang w:val="en-US"/>
        </w:rPr>
        <w:tab/>
        <w:t>Central counterparties (CCP)</w:t>
      </w:r>
    </w:p>
    <w:p w:rsidR="00C45EEC" w:rsidRPr="00B96C81" w:rsidRDefault="00C45EEC" w:rsidP="00C45EEC">
      <w:pPr>
        <w:ind w:firstLine="709"/>
        <w:rPr>
          <w:lang w:val="en-US"/>
        </w:rPr>
      </w:pPr>
      <w:r w:rsidRPr="00B96C81">
        <w:rPr>
          <w:lang w:val="en-US"/>
        </w:rPr>
        <w:t>-</w:t>
      </w:r>
      <w:r w:rsidRPr="00B96C81">
        <w:rPr>
          <w:lang w:val="en-US"/>
        </w:rPr>
        <w:tab/>
        <w:t>Remaining other financial intermediaries</w:t>
      </w:r>
    </w:p>
    <w:p w:rsidR="00C45EEC" w:rsidRPr="00B96C81" w:rsidRDefault="00C45EEC" w:rsidP="00C45EEC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Financial auxiliaries</w:t>
      </w:r>
    </w:p>
    <w:p w:rsidR="00C45EEC" w:rsidRPr="00B96C81" w:rsidRDefault="00C45EEC" w:rsidP="00C45EEC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Captive financial institutions and money lenders</w:t>
      </w:r>
    </w:p>
    <w:p w:rsidR="00C45EEC" w:rsidRPr="00B96C81" w:rsidRDefault="00C45EEC" w:rsidP="00C47858">
      <w:pPr>
        <w:rPr>
          <w:lang w:val="en-US"/>
        </w:rPr>
      </w:pPr>
    </w:p>
    <w:p w:rsidR="00C45EEC" w:rsidRPr="00B96C81" w:rsidRDefault="00C45EEC" w:rsidP="00C45EEC">
      <w:proofErr w:type="spellStart"/>
      <w:r w:rsidRPr="00B96C81">
        <w:t>Participations</w:t>
      </w:r>
      <w:proofErr w:type="spellEnd"/>
      <w:r w:rsidRPr="00B96C81">
        <w:t xml:space="preserve"> wordt extra uitgevraagd naar tegensectoren Central Bank en </w:t>
      </w:r>
      <w:proofErr w:type="spellStart"/>
      <w:r w:rsidRPr="00B96C81">
        <w:t>Government</w:t>
      </w:r>
      <w:proofErr w:type="spellEnd"/>
      <w:r w:rsidRPr="00B96C81">
        <w:t>.</w:t>
      </w:r>
    </w:p>
    <w:p w:rsidR="00C45EEC" w:rsidRPr="00B96C81" w:rsidRDefault="00C45EEC" w:rsidP="00C45EEC"/>
    <w:p w:rsidR="00C45EEC" w:rsidRPr="00B96C81" w:rsidRDefault="00C45EEC" w:rsidP="00C45EEC">
      <w:pPr>
        <w:rPr>
          <w:lang w:val="en-US"/>
        </w:rPr>
      </w:pPr>
      <w:r w:rsidRPr="00B96C81">
        <w:rPr>
          <w:lang w:val="en-US"/>
        </w:rPr>
        <w:t>Lo</w:t>
      </w:r>
      <w:r w:rsidR="001148A6" w:rsidRPr="00B96C81">
        <w:rPr>
          <w:lang w:val="en-US"/>
        </w:rPr>
        <w:t>ans granted and deposits place</w:t>
      </w:r>
      <w:r w:rsidR="00E4559B" w:rsidRPr="00B96C81">
        <w:rPr>
          <w:lang w:val="en-US"/>
        </w:rPr>
        <w:t>d</w:t>
      </w:r>
      <w:r w:rsidR="001148A6" w:rsidRPr="00B96C81">
        <w:rPr>
          <w:lang w:val="en-US"/>
        </w:rPr>
        <w:t xml:space="preserve"> </w:t>
      </w:r>
      <w:proofErr w:type="spellStart"/>
      <w:r w:rsidR="001148A6" w:rsidRPr="00B96C81">
        <w:rPr>
          <w:lang w:val="en-US"/>
        </w:rPr>
        <w:t>heeft</w:t>
      </w:r>
      <w:proofErr w:type="spellEnd"/>
      <w:r w:rsidR="001148A6" w:rsidRPr="00B96C81">
        <w:rPr>
          <w:lang w:val="en-US"/>
        </w:rPr>
        <w:t xml:space="preserve"> nu </w:t>
      </w:r>
      <w:proofErr w:type="spellStart"/>
      <w:r w:rsidR="001148A6" w:rsidRPr="00B96C81">
        <w:rPr>
          <w:lang w:val="en-US"/>
        </w:rPr>
        <w:t>vier</w:t>
      </w:r>
      <w:proofErr w:type="spellEnd"/>
      <w:r w:rsidR="001148A6" w:rsidRPr="00B96C81">
        <w:rPr>
          <w:lang w:val="en-US"/>
        </w:rPr>
        <w:t xml:space="preserve"> </w:t>
      </w:r>
      <w:proofErr w:type="spellStart"/>
      <w:r w:rsidR="001148A6" w:rsidRPr="00B96C81">
        <w:rPr>
          <w:lang w:val="en-US"/>
        </w:rPr>
        <w:t>looptijduitsplitsingen</w:t>
      </w:r>
      <w:proofErr w:type="spellEnd"/>
      <w:r w:rsidR="001148A6" w:rsidRPr="00B96C81">
        <w:rPr>
          <w:lang w:val="en-US"/>
        </w:rPr>
        <w:t xml:space="preserve">: </w:t>
      </w:r>
    </w:p>
    <w:p w:rsidR="001148A6" w:rsidRPr="00B96C81" w:rsidRDefault="001148A6" w:rsidP="00C45EEC">
      <w:pPr>
        <w:rPr>
          <w:lang w:val="en-US"/>
        </w:rPr>
      </w:pPr>
    </w:p>
    <w:p w:rsidR="001148A6" w:rsidRPr="00B96C81" w:rsidRDefault="001148A6" w:rsidP="001148A6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Maturity &lt;= 1 year</w:t>
      </w:r>
    </w:p>
    <w:p w:rsidR="001148A6" w:rsidRPr="00B96C81" w:rsidRDefault="001148A6" w:rsidP="001148A6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&gt; 1 year maturity &lt;= 2 year</w:t>
      </w:r>
    </w:p>
    <w:p w:rsidR="001148A6" w:rsidRPr="00B96C81" w:rsidRDefault="001148A6" w:rsidP="001148A6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&gt; 2 year maturity &lt;= 5 year</w:t>
      </w:r>
    </w:p>
    <w:p w:rsidR="001148A6" w:rsidRPr="00B96C81" w:rsidRDefault="001148A6" w:rsidP="001148A6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Maturity &gt; 5 year</w:t>
      </w:r>
    </w:p>
    <w:p w:rsidR="001148A6" w:rsidRPr="00B96C81" w:rsidRDefault="001148A6" w:rsidP="001148A6">
      <w:pPr>
        <w:rPr>
          <w:lang w:val="en-US"/>
        </w:rPr>
      </w:pPr>
    </w:p>
    <w:p w:rsidR="001148A6" w:rsidRPr="00B96C81" w:rsidRDefault="001148A6" w:rsidP="001148A6">
      <w:pPr>
        <w:rPr>
          <w:lang w:val="en-US"/>
        </w:rPr>
      </w:pPr>
      <w:r w:rsidRPr="00B96C81">
        <w:rPr>
          <w:lang w:val="en-US"/>
        </w:rPr>
        <w:t xml:space="preserve">Notional cash </w:t>
      </w:r>
      <w:r w:rsidR="00CB21DA" w:rsidRPr="00B96C81">
        <w:rPr>
          <w:lang w:val="en-US"/>
        </w:rPr>
        <w:t>pooling</w:t>
      </w:r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krijgt</w:t>
      </w:r>
      <w:proofErr w:type="spellEnd"/>
      <w:r w:rsidRPr="00B96C81">
        <w:rPr>
          <w:lang w:val="en-US"/>
        </w:rPr>
        <w:t xml:space="preserve"> extra </w:t>
      </w:r>
      <w:proofErr w:type="spellStart"/>
      <w:r w:rsidRPr="00B96C81">
        <w:rPr>
          <w:lang w:val="en-US"/>
        </w:rPr>
        <w:t>tegensec</w:t>
      </w:r>
      <w:r w:rsidR="00CB21DA" w:rsidRPr="00B96C81">
        <w:rPr>
          <w:lang w:val="en-US"/>
        </w:rPr>
        <w:t>toruitsplitsingen</w:t>
      </w:r>
      <w:proofErr w:type="spellEnd"/>
      <w:r w:rsidR="00CB21DA" w:rsidRPr="00B96C81">
        <w:rPr>
          <w:lang w:val="en-US"/>
        </w:rPr>
        <w:t xml:space="preserve"> </w:t>
      </w:r>
      <w:proofErr w:type="spellStart"/>
      <w:r w:rsidR="00CB21DA" w:rsidRPr="00B96C81">
        <w:rPr>
          <w:lang w:val="en-US"/>
        </w:rPr>
        <w:t>naar</w:t>
      </w:r>
      <w:proofErr w:type="spellEnd"/>
      <w:r w:rsidR="00CB21DA" w:rsidRPr="00B96C81">
        <w:rPr>
          <w:lang w:val="en-US"/>
        </w:rPr>
        <w:t xml:space="preserve"> MFIs, </w:t>
      </w:r>
      <w:r w:rsidRPr="00B96C81">
        <w:rPr>
          <w:lang w:val="en-US"/>
        </w:rPr>
        <w:t>Government</w:t>
      </w:r>
      <w:r w:rsidR="00CB21DA" w:rsidRPr="00B96C81">
        <w:rPr>
          <w:lang w:val="en-US"/>
        </w:rPr>
        <w:t xml:space="preserve"> </w:t>
      </w:r>
      <w:proofErr w:type="spellStart"/>
      <w:r w:rsidR="00CB21DA" w:rsidRPr="00B96C81">
        <w:rPr>
          <w:lang w:val="en-US"/>
        </w:rPr>
        <w:t>en</w:t>
      </w:r>
      <w:proofErr w:type="spellEnd"/>
      <w:r w:rsidR="00CB21DA" w:rsidRPr="00B96C81">
        <w:rPr>
          <w:lang w:val="en-US"/>
        </w:rPr>
        <w:t xml:space="preserve"> Non-bank within own group</w:t>
      </w:r>
      <w:r w:rsidRPr="00B96C81">
        <w:rPr>
          <w:lang w:val="en-US"/>
        </w:rPr>
        <w:t xml:space="preserve">. </w:t>
      </w:r>
    </w:p>
    <w:p w:rsidR="009B4C9A" w:rsidRPr="00B96C81" w:rsidRDefault="009B4C9A" w:rsidP="001148A6">
      <w:pPr>
        <w:rPr>
          <w:b/>
          <w:lang w:val="en-US"/>
        </w:rPr>
      </w:pPr>
      <w:r w:rsidRPr="00B96C81">
        <w:rPr>
          <w:b/>
          <w:lang w:val="en-US"/>
        </w:rPr>
        <w:lastRenderedPageBreak/>
        <w:t xml:space="preserve">1.2 </w:t>
      </w:r>
      <w:proofErr w:type="spellStart"/>
      <w:r w:rsidRPr="00B96C81">
        <w:rPr>
          <w:b/>
          <w:lang w:val="en-US"/>
        </w:rPr>
        <w:t>Formulier</w:t>
      </w:r>
      <w:proofErr w:type="spellEnd"/>
      <w:r w:rsidRPr="00B96C81">
        <w:rPr>
          <w:b/>
          <w:lang w:val="en-US"/>
        </w:rPr>
        <w:t xml:space="preserve"> T9001HK2 - Securities held by Dutch MFIs</w:t>
      </w:r>
    </w:p>
    <w:p w:rsidR="00D92401" w:rsidRPr="00B96C81" w:rsidRDefault="00D92401" w:rsidP="001148A6">
      <w:r w:rsidRPr="00B96C81">
        <w:t xml:space="preserve">Op formulier 9001HK2 moeten de aangehouden effecten gerapporteerd worden, gespecificeerd naar land, tegensector, valuta en looptijd. </w:t>
      </w:r>
    </w:p>
    <w:p w:rsidR="00D92401" w:rsidRPr="00B96C81" w:rsidRDefault="00D92401" w:rsidP="00D92401"/>
    <w:p w:rsidR="0017184B" w:rsidRPr="00B96C81" w:rsidRDefault="0017184B" w:rsidP="0017184B">
      <w:r w:rsidRPr="00B96C81">
        <w:t xml:space="preserve">Tegensector </w:t>
      </w:r>
      <w:proofErr w:type="spellStart"/>
      <w:r w:rsidRPr="00B96C81">
        <w:t>MFIs</w:t>
      </w:r>
      <w:proofErr w:type="spellEnd"/>
      <w:r w:rsidRPr="00B96C81">
        <w:t xml:space="preserve"> krijgt de volgende tegensectoruitsplitsing: </w:t>
      </w:r>
    </w:p>
    <w:p w:rsidR="0017184B" w:rsidRPr="00B96C81" w:rsidRDefault="0017184B" w:rsidP="0017184B"/>
    <w:p w:rsidR="0017184B" w:rsidRPr="00B96C81" w:rsidRDefault="0017184B" w:rsidP="0017184B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Central bank</w:t>
      </w:r>
    </w:p>
    <w:p w:rsidR="0017184B" w:rsidRPr="00B96C81" w:rsidRDefault="0017184B" w:rsidP="0017184B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Deposit-taking corporations</w:t>
      </w:r>
    </w:p>
    <w:p w:rsidR="0017184B" w:rsidRPr="00B96C81" w:rsidRDefault="0017184B" w:rsidP="0017184B">
      <w:pPr>
        <w:ind w:firstLine="709"/>
        <w:rPr>
          <w:lang w:val="en-US"/>
        </w:rPr>
      </w:pPr>
      <w:r w:rsidRPr="00B96C81">
        <w:rPr>
          <w:lang w:val="en-US"/>
        </w:rPr>
        <w:t>-</w:t>
      </w:r>
      <w:r w:rsidRPr="00B96C81">
        <w:rPr>
          <w:lang w:val="en-US"/>
        </w:rPr>
        <w:tab/>
        <w:t>Credit institutions within own group</w:t>
      </w:r>
    </w:p>
    <w:p w:rsidR="0017184B" w:rsidRPr="00B96C81" w:rsidRDefault="0017184B" w:rsidP="0017184B">
      <w:pPr>
        <w:ind w:firstLine="709"/>
        <w:rPr>
          <w:lang w:val="en-US"/>
        </w:rPr>
      </w:pPr>
      <w:r w:rsidRPr="00B96C81">
        <w:rPr>
          <w:lang w:val="en-US"/>
        </w:rPr>
        <w:t>-</w:t>
      </w:r>
      <w:r w:rsidRPr="00B96C81">
        <w:rPr>
          <w:lang w:val="en-US"/>
        </w:rPr>
        <w:tab/>
        <w:t>Credit institutions outside own group</w:t>
      </w:r>
    </w:p>
    <w:p w:rsidR="0017184B" w:rsidRPr="00B96C81" w:rsidRDefault="0017184B" w:rsidP="0017184B">
      <w:pPr>
        <w:ind w:firstLine="709"/>
        <w:rPr>
          <w:lang w:val="en-US"/>
        </w:rPr>
      </w:pPr>
      <w:r w:rsidRPr="00B96C81">
        <w:rPr>
          <w:lang w:val="en-US"/>
        </w:rPr>
        <w:t>-</w:t>
      </w:r>
      <w:r w:rsidRPr="00B96C81">
        <w:rPr>
          <w:lang w:val="en-US"/>
        </w:rPr>
        <w:tab/>
        <w:t>Deposit-taking corporations other than credit institutions</w:t>
      </w:r>
    </w:p>
    <w:p w:rsidR="0017184B" w:rsidRPr="00B96C81" w:rsidRDefault="0017184B" w:rsidP="0017184B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Money market funds</w:t>
      </w:r>
    </w:p>
    <w:p w:rsidR="0017184B" w:rsidRPr="00B96C81" w:rsidRDefault="0017184B" w:rsidP="00D92401">
      <w:pPr>
        <w:rPr>
          <w:lang w:val="en-US"/>
        </w:rPr>
      </w:pPr>
    </w:p>
    <w:p w:rsidR="00D92401" w:rsidRPr="00B96C81" w:rsidRDefault="00D92401" w:rsidP="00D92401">
      <w:pPr>
        <w:rPr>
          <w:lang w:val="en-US"/>
        </w:rPr>
      </w:pPr>
      <w:proofErr w:type="spellStart"/>
      <w:r w:rsidRPr="00B96C81">
        <w:rPr>
          <w:lang w:val="en-US"/>
        </w:rPr>
        <w:t>Tegensector</w:t>
      </w:r>
      <w:proofErr w:type="spellEnd"/>
      <w:r w:rsidRPr="00B96C81">
        <w:rPr>
          <w:lang w:val="en-US"/>
        </w:rPr>
        <w:t xml:space="preserve"> Other financial institutions (‘OFIs’) </w:t>
      </w:r>
      <w:proofErr w:type="spellStart"/>
      <w:r w:rsidRPr="00B96C81">
        <w:rPr>
          <w:lang w:val="en-US"/>
        </w:rPr>
        <w:t>krijgt</w:t>
      </w:r>
      <w:proofErr w:type="spellEnd"/>
      <w:r w:rsidRPr="00B96C81">
        <w:rPr>
          <w:lang w:val="en-US"/>
        </w:rPr>
        <w:t xml:space="preserve"> de </w:t>
      </w:r>
      <w:proofErr w:type="spellStart"/>
      <w:r w:rsidRPr="00B96C81">
        <w:rPr>
          <w:lang w:val="en-US"/>
        </w:rPr>
        <w:t>volgende</w:t>
      </w:r>
      <w:proofErr w:type="spellEnd"/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tegensectoruitsplitsing</w:t>
      </w:r>
      <w:proofErr w:type="spellEnd"/>
      <w:r w:rsidRPr="00B96C81">
        <w:rPr>
          <w:lang w:val="en-US"/>
        </w:rPr>
        <w:t xml:space="preserve">: </w:t>
      </w:r>
    </w:p>
    <w:p w:rsidR="00D92401" w:rsidRPr="00B96C81" w:rsidRDefault="00D92401" w:rsidP="00D92401">
      <w:pPr>
        <w:rPr>
          <w:lang w:val="en-US"/>
        </w:rPr>
      </w:pPr>
    </w:p>
    <w:p w:rsidR="00D92401" w:rsidRPr="00B96C81" w:rsidRDefault="00D92401" w:rsidP="00D92401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Investment funds</w:t>
      </w:r>
    </w:p>
    <w:p w:rsidR="00D92401" w:rsidRPr="00B96C81" w:rsidRDefault="00D92401" w:rsidP="00D92401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Other financial intermediaries</w:t>
      </w:r>
    </w:p>
    <w:p w:rsidR="00D92401" w:rsidRPr="00B96C81" w:rsidRDefault="00D92401" w:rsidP="00D92401">
      <w:pPr>
        <w:ind w:firstLine="709"/>
        <w:rPr>
          <w:lang w:val="en-US"/>
        </w:rPr>
      </w:pPr>
      <w:r w:rsidRPr="00B96C81">
        <w:rPr>
          <w:lang w:val="en-US"/>
        </w:rPr>
        <w:t>-</w:t>
      </w:r>
      <w:r w:rsidRPr="00B96C81">
        <w:rPr>
          <w:lang w:val="en-US"/>
        </w:rPr>
        <w:tab/>
        <w:t>Financial vehicle corporations</w:t>
      </w:r>
    </w:p>
    <w:p w:rsidR="00D92401" w:rsidRPr="00B96C81" w:rsidRDefault="00D92401" w:rsidP="00D92401">
      <w:pPr>
        <w:ind w:firstLine="709"/>
        <w:rPr>
          <w:lang w:val="en-US"/>
        </w:rPr>
      </w:pPr>
      <w:r w:rsidRPr="00B96C81">
        <w:rPr>
          <w:lang w:val="en-US"/>
        </w:rPr>
        <w:t>-</w:t>
      </w:r>
      <w:r w:rsidRPr="00B96C81">
        <w:rPr>
          <w:lang w:val="en-US"/>
        </w:rPr>
        <w:tab/>
        <w:t>Central counterparties (CCP)</w:t>
      </w:r>
    </w:p>
    <w:p w:rsidR="00D92401" w:rsidRPr="00B96C81" w:rsidRDefault="00D92401" w:rsidP="00D92401">
      <w:pPr>
        <w:ind w:firstLine="709"/>
        <w:rPr>
          <w:lang w:val="en-US"/>
        </w:rPr>
      </w:pPr>
      <w:r w:rsidRPr="00B96C81">
        <w:rPr>
          <w:lang w:val="en-US"/>
        </w:rPr>
        <w:t>-</w:t>
      </w:r>
      <w:r w:rsidRPr="00B96C81">
        <w:rPr>
          <w:lang w:val="en-US"/>
        </w:rPr>
        <w:tab/>
        <w:t>Remaining other financial intermediaries</w:t>
      </w:r>
    </w:p>
    <w:p w:rsidR="00D92401" w:rsidRPr="00B96C81" w:rsidRDefault="00D92401" w:rsidP="00D92401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Financial auxiliaries</w:t>
      </w:r>
    </w:p>
    <w:p w:rsidR="00D92401" w:rsidRPr="00B96C81" w:rsidRDefault="00D92401" w:rsidP="00D92401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Captive financial institutions and money lenders</w:t>
      </w:r>
    </w:p>
    <w:p w:rsidR="009B4C9A" w:rsidRPr="00B96C81" w:rsidRDefault="009B4C9A" w:rsidP="001148A6">
      <w:pPr>
        <w:rPr>
          <w:lang w:val="en-US"/>
        </w:rPr>
      </w:pPr>
    </w:p>
    <w:p w:rsidR="001148A6" w:rsidRPr="00B96C81" w:rsidRDefault="00D92401" w:rsidP="00C45EEC">
      <w:pPr>
        <w:rPr>
          <w:lang w:val="en-US"/>
        </w:rPr>
      </w:pPr>
      <w:r w:rsidRPr="00B96C81">
        <w:rPr>
          <w:lang w:val="en-US"/>
        </w:rPr>
        <w:t xml:space="preserve">Shares held </w:t>
      </w:r>
      <w:proofErr w:type="spellStart"/>
      <w:r w:rsidRPr="00B96C81">
        <w:rPr>
          <w:lang w:val="en-US"/>
        </w:rPr>
        <w:t>wordt</w:t>
      </w:r>
      <w:proofErr w:type="spellEnd"/>
      <w:r w:rsidRPr="00B96C81">
        <w:rPr>
          <w:lang w:val="en-US"/>
        </w:rPr>
        <w:t xml:space="preserve"> extra </w:t>
      </w:r>
      <w:proofErr w:type="spellStart"/>
      <w:r w:rsidRPr="00B96C81">
        <w:rPr>
          <w:lang w:val="en-US"/>
        </w:rPr>
        <w:t>uitgevraagd</w:t>
      </w:r>
      <w:proofErr w:type="spellEnd"/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naar</w:t>
      </w:r>
      <w:proofErr w:type="spellEnd"/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tegensectoren</w:t>
      </w:r>
      <w:proofErr w:type="spellEnd"/>
      <w:r w:rsidRPr="00B96C81">
        <w:rPr>
          <w:lang w:val="en-US"/>
        </w:rPr>
        <w:t xml:space="preserve"> Central bank, Credit institutions within own group, Government en Non-financial public corporations. </w:t>
      </w:r>
    </w:p>
    <w:p w:rsidR="00D92401" w:rsidRPr="00B96C81" w:rsidRDefault="00D92401" w:rsidP="00D92401">
      <w:pPr>
        <w:rPr>
          <w:lang w:val="en-US"/>
        </w:rPr>
      </w:pPr>
    </w:p>
    <w:p w:rsidR="00D92401" w:rsidRPr="00B96C81" w:rsidRDefault="00D92401" w:rsidP="00D92401">
      <w:pPr>
        <w:rPr>
          <w:b/>
          <w:lang w:val="en-US"/>
        </w:rPr>
      </w:pPr>
      <w:r w:rsidRPr="00B96C81">
        <w:rPr>
          <w:b/>
          <w:lang w:val="en-US"/>
        </w:rPr>
        <w:t xml:space="preserve">1.3 </w:t>
      </w:r>
      <w:proofErr w:type="spellStart"/>
      <w:r w:rsidRPr="00B96C81">
        <w:rPr>
          <w:b/>
          <w:lang w:val="en-US"/>
        </w:rPr>
        <w:t>Formulier</w:t>
      </w:r>
      <w:proofErr w:type="spellEnd"/>
      <w:r w:rsidRPr="00B96C81">
        <w:rPr>
          <w:b/>
          <w:lang w:val="en-US"/>
        </w:rPr>
        <w:t xml:space="preserve"> T9001HK3 - Loans granted and deposits placed with over-coverage of real estate as collateral (LTV ratio &lt;= 1)</w:t>
      </w:r>
    </w:p>
    <w:p w:rsidR="00D92401" w:rsidRPr="00B96C81" w:rsidRDefault="00D92401" w:rsidP="00D92401">
      <w:r w:rsidRPr="00B96C81">
        <w:t>Op formulier 9001HK3 moeten alleen de verstrekte leningen en deposito´s worden gerapporteerd waarbij de lening wordt gegarandeerd door een overdekking aan een onroerend goed onderpand.</w:t>
      </w:r>
    </w:p>
    <w:p w:rsidR="00D92401" w:rsidRPr="00B96C81" w:rsidRDefault="00D92401" w:rsidP="00D92401"/>
    <w:p w:rsidR="00D92401" w:rsidRPr="00B96C81" w:rsidRDefault="00D92401" w:rsidP="00D92401">
      <w:pPr>
        <w:rPr>
          <w:lang w:val="en-US"/>
        </w:rPr>
      </w:pPr>
      <w:r w:rsidRPr="00B96C81">
        <w:rPr>
          <w:lang w:val="en-US"/>
        </w:rPr>
        <w:t>Loans for house purchases, Loans for consumption (personal)</w:t>
      </w:r>
      <w:r w:rsidR="003C4D61" w:rsidRPr="00B96C81">
        <w:rPr>
          <w:lang w:val="en-US"/>
        </w:rPr>
        <w:t xml:space="preserve"> </w:t>
      </w:r>
      <w:proofErr w:type="spellStart"/>
      <w:r w:rsidR="003C4D61" w:rsidRPr="00B96C81">
        <w:rPr>
          <w:lang w:val="en-US"/>
        </w:rPr>
        <w:t>en</w:t>
      </w:r>
      <w:proofErr w:type="spellEnd"/>
      <w:r w:rsidR="003C4D61" w:rsidRPr="00B96C81">
        <w:rPr>
          <w:lang w:val="en-US"/>
        </w:rPr>
        <w:t xml:space="preserve"> Other loans </w:t>
      </w:r>
      <w:proofErr w:type="spellStart"/>
      <w:r w:rsidR="003C4D61" w:rsidRPr="00B96C81">
        <w:rPr>
          <w:lang w:val="en-US"/>
        </w:rPr>
        <w:t>hebben</w:t>
      </w:r>
      <w:proofErr w:type="spellEnd"/>
      <w:r w:rsidR="003C4D61" w:rsidRPr="00B96C81">
        <w:rPr>
          <w:lang w:val="en-US"/>
        </w:rPr>
        <w:t xml:space="preserve"> nu </w:t>
      </w:r>
      <w:proofErr w:type="spellStart"/>
      <w:r w:rsidR="003C4D61" w:rsidRPr="00B96C81">
        <w:rPr>
          <w:lang w:val="en-US"/>
        </w:rPr>
        <w:t>vier</w:t>
      </w:r>
      <w:proofErr w:type="spellEnd"/>
      <w:r w:rsidR="003C4D61" w:rsidRPr="00B96C81">
        <w:rPr>
          <w:lang w:val="en-US"/>
        </w:rPr>
        <w:t xml:space="preserve"> </w:t>
      </w:r>
      <w:proofErr w:type="spellStart"/>
      <w:r w:rsidR="003C4D61" w:rsidRPr="00B96C81">
        <w:rPr>
          <w:lang w:val="en-US"/>
        </w:rPr>
        <w:t>looptijduitsplitsingen</w:t>
      </w:r>
      <w:proofErr w:type="spellEnd"/>
      <w:r w:rsidR="003C4D61" w:rsidRPr="00B96C81">
        <w:rPr>
          <w:lang w:val="en-US"/>
        </w:rPr>
        <w:t>:</w:t>
      </w:r>
    </w:p>
    <w:p w:rsidR="003C4D61" w:rsidRPr="00B96C81" w:rsidRDefault="003C4D61" w:rsidP="00D92401">
      <w:pPr>
        <w:rPr>
          <w:lang w:val="en-US"/>
        </w:rPr>
      </w:pPr>
    </w:p>
    <w:p w:rsidR="003C4D61" w:rsidRPr="00B96C81" w:rsidRDefault="003C4D61" w:rsidP="003C4D61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Maturity &lt;= 1 year</w:t>
      </w:r>
    </w:p>
    <w:p w:rsidR="003C4D61" w:rsidRPr="00B96C81" w:rsidRDefault="003C4D61" w:rsidP="003C4D61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&gt; 1 year maturity &lt;= 2 year</w:t>
      </w:r>
    </w:p>
    <w:p w:rsidR="003C4D61" w:rsidRPr="00B96C81" w:rsidRDefault="003C4D61" w:rsidP="003C4D61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&gt; 2 year maturity &lt;= 5 year</w:t>
      </w:r>
    </w:p>
    <w:p w:rsidR="003C4D61" w:rsidRPr="00B96C81" w:rsidRDefault="003C4D61" w:rsidP="003C4D61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Maturity &gt; 5 year</w:t>
      </w:r>
    </w:p>
    <w:p w:rsidR="001D77CF" w:rsidRPr="00B96C81" w:rsidRDefault="001D77CF" w:rsidP="003C4D61">
      <w:pPr>
        <w:rPr>
          <w:lang w:val="en-US"/>
        </w:rPr>
      </w:pPr>
    </w:p>
    <w:p w:rsidR="003C4D61" w:rsidRPr="00B96C81" w:rsidRDefault="003C4D61" w:rsidP="003C4D61">
      <w:pPr>
        <w:rPr>
          <w:b/>
          <w:lang w:val="en-US"/>
        </w:rPr>
      </w:pPr>
      <w:r w:rsidRPr="00B96C81">
        <w:rPr>
          <w:b/>
          <w:lang w:val="en-US"/>
        </w:rPr>
        <w:t>1.4 Formulier T9001HK6 - Total overview of the balance sheet items of Dutch MFIs</w:t>
      </w:r>
    </w:p>
    <w:p w:rsidR="00223548" w:rsidRPr="00B96C81" w:rsidRDefault="00223548" w:rsidP="00D92401">
      <w:pPr>
        <w:rPr>
          <w:lang w:val="en-US"/>
        </w:rPr>
      </w:pPr>
    </w:p>
    <w:p w:rsidR="002E3A43" w:rsidRPr="00B96C81" w:rsidRDefault="003C4D61" w:rsidP="00D92401">
      <w:pPr>
        <w:rPr>
          <w:lang w:val="en-US"/>
        </w:rPr>
      </w:pPr>
      <w:r w:rsidRPr="00B96C81">
        <w:rPr>
          <w:lang w:val="en-US"/>
        </w:rPr>
        <w:t xml:space="preserve">Non-financial assets (including fixed assets) </w:t>
      </w:r>
      <w:proofErr w:type="spellStart"/>
      <w:r w:rsidRPr="00B96C81">
        <w:rPr>
          <w:lang w:val="en-US"/>
        </w:rPr>
        <w:t>krijgt</w:t>
      </w:r>
      <w:proofErr w:type="spellEnd"/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een</w:t>
      </w:r>
      <w:proofErr w:type="spellEnd"/>
      <w:r w:rsidRPr="00B96C81">
        <w:rPr>
          <w:lang w:val="en-US"/>
        </w:rPr>
        <w:t xml:space="preserve"> extra </w:t>
      </w:r>
      <w:proofErr w:type="spellStart"/>
      <w:r w:rsidRPr="00B96C81">
        <w:rPr>
          <w:lang w:val="en-US"/>
        </w:rPr>
        <w:t>uitsplitsing</w:t>
      </w:r>
      <w:proofErr w:type="spellEnd"/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naar</w:t>
      </w:r>
      <w:proofErr w:type="spellEnd"/>
      <w:r w:rsidRPr="00B96C81">
        <w:rPr>
          <w:lang w:val="en-US"/>
        </w:rPr>
        <w:t xml:space="preserve"> Real estate holdings. </w:t>
      </w:r>
    </w:p>
    <w:p w:rsidR="00664F02" w:rsidRPr="00B96C81" w:rsidRDefault="00664F02" w:rsidP="00D92401">
      <w:pPr>
        <w:rPr>
          <w:lang w:val="en-US"/>
        </w:rPr>
      </w:pPr>
    </w:p>
    <w:p w:rsidR="003C4D61" w:rsidRPr="00B96C81" w:rsidRDefault="003C4D61" w:rsidP="00D92401">
      <w:pPr>
        <w:rPr>
          <w:lang w:val="en-US"/>
        </w:rPr>
      </w:pPr>
      <w:proofErr w:type="spellStart"/>
      <w:r w:rsidRPr="00B96C81">
        <w:rPr>
          <w:lang w:val="en-US"/>
        </w:rPr>
        <w:t>Nieuwe</w:t>
      </w:r>
      <w:proofErr w:type="spellEnd"/>
      <w:r w:rsidRPr="00B96C81">
        <w:rPr>
          <w:lang w:val="en-US"/>
        </w:rPr>
        <w:t xml:space="preserve"> extra </w:t>
      </w:r>
      <w:proofErr w:type="spellStart"/>
      <w:r w:rsidRPr="00B96C81">
        <w:rPr>
          <w:lang w:val="en-US"/>
        </w:rPr>
        <w:t>uitvraag</w:t>
      </w:r>
      <w:proofErr w:type="spellEnd"/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naar</w:t>
      </w:r>
      <w:proofErr w:type="spellEnd"/>
      <w:r w:rsidRPr="00B96C81">
        <w:rPr>
          <w:lang w:val="en-US"/>
        </w:rPr>
        <w:t xml:space="preserve"> Holdings of own securities: </w:t>
      </w:r>
    </w:p>
    <w:p w:rsidR="002E3A43" w:rsidRPr="00B96C81" w:rsidRDefault="002E3A43" w:rsidP="003C4D61">
      <w:pPr>
        <w:rPr>
          <w:lang w:val="en-US"/>
        </w:rPr>
      </w:pPr>
    </w:p>
    <w:p w:rsidR="003C4D61" w:rsidRPr="00B96C81" w:rsidRDefault="003C4D61" w:rsidP="003C4D61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</w:r>
      <w:r w:rsidRPr="00B96C81">
        <w:rPr>
          <w:rFonts w:hint="eastAsia"/>
          <w:lang w:val="en-US"/>
        </w:rPr>
        <w:t>Own holdings of debt securities (market value)</w:t>
      </w:r>
    </w:p>
    <w:p w:rsidR="00A358A7" w:rsidRPr="00B96C81" w:rsidRDefault="003C4D61" w:rsidP="00A358A7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</w:r>
      <w:r w:rsidRPr="00B96C81">
        <w:rPr>
          <w:rFonts w:hint="eastAsia"/>
          <w:lang w:val="en-US"/>
        </w:rPr>
        <w:t>Own holdings of equity issued (market value)</w:t>
      </w:r>
    </w:p>
    <w:p w:rsidR="0044392D" w:rsidRPr="00B96C81" w:rsidRDefault="0044392D" w:rsidP="00A358A7">
      <w:pPr>
        <w:rPr>
          <w:lang w:val="en-US"/>
        </w:rPr>
      </w:pPr>
    </w:p>
    <w:p w:rsidR="00A358A7" w:rsidRPr="00B96C81" w:rsidRDefault="00A358A7" w:rsidP="00A358A7">
      <w:pPr>
        <w:rPr>
          <w:b/>
          <w:lang w:val="en-US"/>
        </w:rPr>
      </w:pPr>
      <w:r w:rsidRPr="00B96C81">
        <w:rPr>
          <w:b/>
          <w:lang w:val="en-US"/>
        </w:rPr>
        <w:t>1.5 Formulier T9007HK1 - Write-downs and other price revaluations, additional information for sector MFIs, government and private sector</w:t>
      </w:r>
    </w:p>
    <w:p w:rsidR="00A358A7" w:rsidRPr="00B96C81" w:rsidRDefault="00A358A7" w:rsidP="00A358A7">
      <w:r w:rsidRPr="00B96C81">
        <w:lastRenderedPageBreak/>
        <w:t xml:space="preserve">Op formulier 9007HK1 moet aanvullende informatie over prijsherwaarderingen en overige mutaties gerapporteerd worden. </w:t>
      </w:r>
    </w:p>
    <w:p w:rsidR="0017184B" w:rsidRPr="00B96C81" w:rsidRDefault="0017184B" w:rsidP="00A358A7"/>
    <w:p w:rsidR="0017184B" w:rsidRPr="00B96C81" w:rsidRDefault="0017184B" w:rsidP="0017184B">
      <w:r w:rsidRPr="00B96C81">
        <w:t xml:space="preserve">Tegensector </w:t>
      </w:r>
      <w:proofErr w:type="spellStart"/>
      <w:r w:rsidRPr="00B96C81">
        <w:t>MFIs</w:t>
      </w:r>
      <w:proofErr w:type="spellEnd"/>
      <w:r w:rsidRPr="00B96C81">
        <w:t xml:space="preserve"> krijgt de volgende tegensectoruitsplitsing: </w:t>
      </w:r>
    </w:p>
    <w:p w:rsidR="0017184B" w:rsidRPr="00B96C81" w:rsidRDefault="0017184B" w:rsidP="0017184B"/>
    <w:p w:rsidR="0017184B" w:rsidRPr="00B96C81" w:rsidRDefault="0017184B" w:rsidP="0017184B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Central bank</w:t>
      </w:r>
    </w:p>
    <w:p w:rsidR="0017184B" w:rsidRPr="00B96C81" w:rsidRDefault="0017184B" w:rsidP="0017184B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Deposit-taking corporations</w:t>
      </w:r>
    </w:p>
    <w:p w:rsidR="0017184B" w:rsidRPr="00B96C81" w:rsidRDefault="0017184B" w:rsidP="0017184B">
      <w:pPr>
        <w:ind w:firstLine="709"/>
        <w:rPr>
          <w:lang w:val="en-US"/>
        </w:rPr>
      </w:pPr>
      <w:r w:rsidRPr="00B96C81">
        <w:rPr>
          <w:lang w:val="en-US"/>
        </w:rPr>
        <w:t>-</w:t>
      </w:r>
      <w:r w:rsidRPr="00B96C81">
        <w:rPr>
          <w:lang w:val="en-US"/>
        </w:rPr>
        <w:tab/>
        <w:t>Credit institutions within own group</w:t>
      </w:r>
    </w:p>
    <w:p w:rsidR="0017184B" w:rsidRPr="00B96C81" w:rsidRDefault="0017184B" w:rsidP="0017184B">
      <w:pPr>
        <w:ind w:firstLine="709"/>
        <w:rPr>
          <w:lang w:val="en-US"/>
        </w:rPr>
      </w:pPr>
      <w:r w:rsidRPr="00B96C81">
        <w:rPr>
          <w:lang w:val="en-US"/>
        </w:rPr>
        <w:t>-</w:t>
      </w:r>
      <w:r w:rsidRPr="00B96C81">
        <w:rPr>
          <w:lang w:val="en-US"/>
        </w:rPr>
        <w:tab/>
        <w:t>Credit institutions outside own group</w:t>
      </w:r>
    </w:p>
    <w:p w:rsidR="0017184B" w:rsidRPr="00B96C81" w:rsidRDefault="0017184B" w:rsidP="0017184B">
      <w:pPr>
        <w:ind w:firstLine="709"/>
        <w:rPr>
          <w:lang w:val="en-US"/>
        </w:rPr>
      </w:pPr>
      <w:r w:rsidRPr="00B96C81">
        <w:rPr>
          <w:lang w:val="en-US"/>
        </w:rPr>
        <w:t>-</w:t>
      </w:r>
      <w:r w:rsidRPr="00B96C81">
        <w:rPr>
          <w:lang w:val="en-US"/>
        </w:rPr>
        <w:tab/>
        <w:t>Deposit-taking corporations other than credit institutions</w:t>
      </w:r>
    </w:p>
    <w:p w:rsidR="0017184B" w:rsidRPr="00B96C81" w:rsidRDefault="0017184B" w:rsidP="0017184B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Money market funds</w:t>
      </w:r>
    </w:p>
    <w:p w:rsidR="0017184B" w:rsidRPr="00B96C81" w:rsidRDefault="0017184B" w:rsidP="00A358A7">
      <w:pPr>
        <w:rPr>
          <w:lang w:val="en-US"/>
        </w:rPr>
      </w:pPr>
    </w:p>
    <w:p w:rsidR="0017184B" w:rsidRPr="00B96C81" w:rsidRDefault="0017184B" w:rsidP="0017184B">
      <w:pPr>
        <w:rPr>
          <w:lang w:val="en-US"/>
        </w:rPr>
      </w:pPr>
      <w:proofErr w:type="spellStart"/>
      <w:r w:rsidRPr="00B96C81">
        <w:rPr>
          <w:lang w:val="en-US"/>
        </w:rPr>
        <w:t>Tegensector</w:t>
      </w:r>
      <w:proofErr w:type="spellEnd"/>
      <w:r w:rsidRPr="00B96C81">
        <w:rPr>
          <w:lang w:val="en-US"/>
        </w:rPr>
        <w:t xml:space="preserve"> Other financial institutions (‘OFIs’) </w:t>
      </w:r>
      <w:proofErr w:type="spellStart"/>
      <w:r w:rsidRPr="00B96C81">
        <w:rPr>
          <w:lang w:val="en-US"/>
        </w:rPr>
        <w:t>krijgt</w:t>
      </w:r>
      <w:proofErr w:type="spellEnd"/>
      <w:r w:rsidRPr="00B96C81">
        <w:rPr>
          <w:lang w:val="en-US"/>
        </w:rPr>
        <w:t xml:space="preserve"> de </w:t>
      </w:r>
      <w:proofErr w:type="spellStart"/>
      <w:r w:rsidRPr="00B96C81">
        <w:rPr>
          <w:lang w:val="en-US"/>
        </w:rPr>
        <w:t>volgende</w:t>
      </w:r>
      <w:proofErr w:type="spellEnd"/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tegensectoruitsplitsing</w:t>
      </w:r>
      <w:proofErr w:type="spellEnd"/>
      <w:r w:rsidRPr="00B96C81">
        <w:rPr>
          <w:lang w:val="en-US"/>
        </w:rPr>
        <w:t xml:space="preserve">: </w:t>
      </w:r>
    </w:p>
    <w:p w:rsidR="0017184B" w:rsidRPr="00B96C81" w:rsidRDefault="0017184B" w:rsidP="0017184B">
      <w:pPr>
        <w:rPr>
          <w:lang w:val="en-US"/>
        </w:rPr>
      </w:pPr>
    </w:p>
    <w:p w:rsidR="0017184B" w:rsidRPr="00B96C81" w:rsidRDefault="0017184B" w:rsidP="0017184B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Investment funds</w:t>
      </w:r>
    </w:p>
    <w:p w:rsidR="0017184B" w:rsidRPr="00B96C81" w:rsidRDefault="0017184B" w:rsidP="0017184B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Other financial intermediaries</w:t>
      </w:r>
    </w:p>
    <w:p w:rsidR="0017184B" w:rsidRPr="00B96C81" w:rsidRDefault="0017184B" w:rsidP="0017184B">
      <w:pPr>
        <w:ind w:firstLine="709"/>
        <w:rPr>
          <w:lang w:val="en-US"/>
        </w:rPr>
      </w:pPr>
      <w:r w:rsidRPr="00B96C81">
        <w:rPr>
          <w:lang w:val="en-US"/>
        </w:rPr>
        <w:t>-</w:t>
      </w:r>
      <w:r w:rsidRPr="00B96C81">
        <w:rPr>
          <w:lang w:val="en-US"/>
        </w:rPr>
        <w:tab/>
        <w:t>Financial vehicle corporations</w:t>
      </w:r>
    </w:p>
    <w:p w:rsidR="0017184B" w:rsidRPr="00B96C81" w:rsidRDefault="0017184B" w:rsidP="0017184B">
      <w:pPr>
        <w:ind w:firstLine="709"/>
        <w:rPr>
          <w:lang w:val="en-US"/>
        </w:rPr>
      </w:pPr>
      <w:r w:rsidRPr="00B96C81">
        <w:rPr>
          <w:lang w:val="en-US"/>
        </w:rPr>
        <w:t>-</w:t>
      </w:r>
      <w:r w:rsidRPr="00B96C81">
        <w:rPr>
          <w:lang w:val="en-US"/>
        </w:rPr>
        <w:tab/>
        <w:t>Central counterparties (CCP)</w:t>
      </w:r>
    </w:p>
    <w:p w:rsidR="0017184B" w:rsidRPr="00B96C81" w:rsidRDefault="0017184B" w:rsidP="0017184B">
      <w:pPr>
        <w:ind w:firstLine="709"/>
        <w:rPr>
          <w:lang w:val="en-US"/>
        </w:rPr>
      </w:pPr>
      <w:r w:rsidRPr="00B96C81">
        <w:rPr>
          <w:lang w:val="en-US"/>
        </w:rPr>
        <w:t>-</w:t>
      </w:r>
      <w:r w:rsidRPr="00B96C81">
        <w:rPr>
          <w:lang w:val="en-US"/>
        </w:rPr>
        <w:tab/>
        <w:t>Remaining other financial intermediaries</w:t>
      </w:r>
    </w:p>
    <w:p w:rsidR="0017184B" w:rsidRPr="00B96C81" w:rsidRDefault="0017184B" w:rsidP="0017184B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Financial auxiliaries</w:t>
      </w:r>
    </w:p>
    <w:p w:rsidR="0017184B" w:rsidRPr="00B96C81" w:rsidRDefault="0017184B" w:rsidP="0017184B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Captive financial institutions and money lenders</w:t>
      </w:r>
    </w:p>
    <w:p w:rsidR="0017184B" w:rsidRPr="00B96C81" w:rsidRDefault="0017184B" w:rsidP="00A358A7">
      <w:pPr>
        <w:rPr>
          <w:lang w:val="en-US"/>
        </w:rPr>
      </w:pPr>
    </w:p>
    <w:p w:rsidR="0017184B" w:rsidRPr="00B96C81" w:rsidRDefault="0017184B" w:rsidP="00A358A7">
      <w:r w:rsidRPr="00B96C81">
        <w:t xml:space="preserve">Shares held is verder uitgesplitst naar </w:t>
      </w:r>
      <w:proofErr w:type="spellStart"/>
      <w:r w:rsidRPr="00B96C81">
        <w:t>Listed</w:t>
      </w:r>
      <w:proofErr w:type="spellEnd"/>
      <w:r w:rsidRPr="00B96C81">
        <w:t xml:space="preserve"> en Non-</w:t>
      </w:r>
      <w:proofErr w:type="spellStart"/>
      <w:r w:rsidRPr="00B96C81">
        <w:t>listed</w:t>
      </w:r>
      <w:proofErr w:type="spellEnd"/>
      <w:r w:rsidR="00822ADE" w:rsidRPr="00B96C81">
        <w:t>, met extra tegensectoren</w:t>
      </w:r>
      <w:r w:rsidR="005902AE" w:rsidRPr="00B96C81">
        <w:t xml:space="preserve">uitsplitsing. </w:t>
      </w:r>
    </w:p>
    <w:p w:rsidR="0017184B" w:rsidRPr="00B96C81" w:rsidRDefault="0017184B" w:rsidP="00A358A7"/>
    <w:p w:rsidR="0017184B" w:rsidRPr="00B96C81" w:rsidRDefault="0017184B" w:rsidP="00A358A7">
      <w:r w:rsidRPr="00B96C81">
        <w:t xml:space="preserve">Toevoeging van het instrument Shares/units, welke alleen voor tegensectoren Money market funds en Investment funds uitgevraagd wordt. </w:t>
      </w:r>
    </w:p>
    <w:p w:rsidR="0017184B" w:rsidRPr="00B96C81" w:rsidRDefault="0017184B" w:rsidP="00A358A7"/>
    <w:p w:rsidR="0017184B" w:rsidRPr="00B96C81" w:rsidRDefault="0017184B" w:rsidP="0017184B">
      <w:pPr>
        <w:rPr>
          <w:lang w:val="en-US"/>
        </w:rPr>
      </w:pPr>
      <w:r w:rsidRPr="00B96C81">
        <w:rPr>
          <w:lang w:val="en-US"/>
        </w:rPr>
        <w:t xml:space="preserve">Loans granted </w:t>
      </w:r>
      <w:r w:rsidR="005902AE" w:rsidRPr="00B96C81">
        <w:rPr>
          <w:lang w:val="en-US"/>
        </w:rPr>
        <w:t>and deposits placed</w:t>
      </w:r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heeft</w:t>
      </w:r>
      <w:proofErr w:type="spellEnd"/>
      <w:r w:rsidRPr="00B96C81">
        <w:rPr>
          <w:lang w:val="en-US"/>
        </w:rPr>
        <w:t xml:space="preserve"> nu </w:t>
      </w:r>
      <w:proofErr w:type="spellStart"/>
      <w:r w:rsidRPr="00B96C81">
        <w:rPr>
          <w:lang w:val="en-US"/>
        </w:rPr>
        <w:t>vier</w:t>
      </w:r>
      <w:proofErr w:type="spellEnd"/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looptijduitsplitsingen</w:t>
      </w:r>
      <w:proofErr w:type="spellEnd"/>
      <w:r w:rsidRPr="00B96C81">
        <w:rPr>
          <w:lang w:val="en-US"/>
        </w:rPr>
        <w:t xml:space="preserve">: </w:t>
      </w:r>
    </w:p>
    <w:p w:rsidR="0017184B" w:rsidRPr="00B96C81" w:rsidRDefault="0017184B" w:rsidP="0017184B">
      <w:pPr>
        <w:rPr>
          <w:lang w:val="en-US"/>
        </w:rPr>
      </w:pPr>
    </w:p>
    <w:p w:rsidR="0017184B" w:rsidRPr="00B96C81" w:rsidRDefault="0017184B" w:rsidP="0017184B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Maturity &lt;= 1 year</w:t>
      </w:r>
    </w:p>
    <w:p w:rsidR="0017184B" w:rsidRPr="00B96C81" w:rsidRDefault="0017184B" w:rsidP="0017184B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&gt; 1 year maturity &lt;= 2 year</w:t>
      </w:r>
    </w:p>
    <w:p w:rsidR="0017184B" w:rsidRPr="00B96C81" w:rsidRDefault="0017184B" w:rsidP="0017184B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&gt; 2 year maturity &lt;= 5 year</w:t>
      </w:r>
    </w:p>
    <w:p w:rsidR="0017184B" w:rsidRPr="00B96C81" w:rsidRDefault="0017184B" w:rsidP="0017184B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Maturity &gt; 5 year</w:t>
      </w:r>
    </w:p>
    <w:p w:rsidR="0017184B" w:rsidRPr="00B96C81" w:rsidRDefault="0017184B" w:rsidP="00A358A7">
      <w:pPr>
        <w:rPr>
          <w:lang w:val="en-US"/>
        </w:rPr>
      </w:pPr>
    </w:p>
    <w:p w:rsidR="0017184B" w:rsidRPr="00B96C81" w:rsidRDefault="0017184B" w:rsidP="00A358A7">
      <w:pPr>
        <w:rPr>
          <w:lang w:val="en-US"/>
        </w:rPr>
      </w:pPr>
      <w:r w:rsidRPr="00B96C81">
        <w:rPr>
          <w:lang w:val="en-US"/>
        </w:rPr>
        <w:t xml:space="preserve">Loans granted and deposits placed (some ‘of which’ positions) </w:t>
      </w:r>
      <w:proofErr w:type="spellStart"/>
      <w:r w:rsidR="00822ADE" w:rsidRPr="00B96C81">
        <w:rPr>
          <w:lang w:val="en-US"/>
        </w:rPr>
        <w:t>heeft</w:t>
      </w:r>
      <w:proofErr w:type="spellEnd"/>
      <w:r w:rsidRPr="00B96C81">
        <w:rPr>
          <w:lang w:val="en-US"/>
        </w:rPr>
        <w:t xml:space="preserve"> de </w:t>
      </w:r>
      <w:proofErr w:type="spellStart"/>
      <w:r w:rsidRPr="00B96C81">
        <w:rPr>
          <w:lang w:val="en-US"/>
        </w:rPr>
        <w:t>volgende</w:t>
      </w:r>
      <w:proofErr w:type="spellEnd"/>
      <w:r w:rsidRPr="00B96C81">
        <w:rPr>
          <w:lang w:val="en-US"/>
        </w:rPr>
        <w:t xml:space="preserve"> extra </w:t>
      </w:r>
      <w:proofErr w:type="spellStart"/>
      <w:r w:rsidRPr="00B96C81">
        <w:rPr>
          <w:lang w:val="en-US"/>
        </w:rPr>
        <w:t>uitsplitsing</w:t>
      </w:r>
      <w:proofErr w:type="spellEnd"/>
      <w:r w:rsidRPr="00B96C81">
        <w:rPr>
          <w:lang w:val="en-US"/>
        </w:rPr>
        <w:t xml:space="preserve">: </w:t>
      </w:r>
    </w:p>
    <w:p w:rsidR="0017184B" w:rsidRPr="00B96C81" w:rsidRDefault="0017184B" w:rsidP="00A358A7">
      <w:pPr>
        <w:rPr>
          <w:lang w:val="en-US"/>
        </w:rPr>
      </w:pPr>
    </w:p>
    <w:p w:rsidR="0017184B" w:rsidRPr="00B96C81" w:rsidRDefault="0017184B" w:rsidP="0017184B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</w:r>
      <w:r w:rsidR="00822ADE" w:rsidRPr="00B96C81">
        <w:rPr>
          <w:lang w:val="en-US"/>
        </w:rPr>
        <w:t>Of which: notional cash pooling</w:t>
      </w:r>
    </w:p>
    <w:p w:rsidR="0017184B" w:rsidRPr="00B96C81" w:rsidRDefault="0017184B" w:rsidP="0017184B">
      <w:pPr>
        <w:ind w:firstLine="709"/>
        <w:rPr>
          <w:lang w:val="en-US"/>
        </w:rPr>
      </w:pPr>
      <w:r w:rsidRPr="00B96C81">
        <w:rPr>
          <w:lang w:val="en-US"/>
        </w:rPr>
        <w:t>-</w:t>
      </w:r>
      <w:r w:rsidRPr="00B96C81">
        <w:rPr>
          <w:lang w:val="en-US"/>
        </w:rPr>
        <w:tab/>
      </w:r>
      <w:r w:rsidR="00822ADE" w:rsidRPr="00B96C81">
        <w:rPr>
          <w:lang w:val="en-US"/>
        </w:rPr>
        <w:t>Of which in: euro</w:t>
      </w:r>
    </w:p>
    <w:p w:rsidR="0017184B" w:rsidRPr="00B96C81" w:rsidRDefault="0017184B" w:rsidP="0017184B">
      <w:pPr>
        <w:ind w:firstLine="709"/>
        <w:rPr>
          <w:lang w:val="en-US"/>
        </w:rPr>
      </w:pPr>
      <w:r w:rsidRPr="00B96C81">
        <w:rPr>
          <w:lang w:val="en-US"/>
        </w:rPr>
        <w:t>-</w:t>
      </w:r>
      <w:r w:rsidRPr="00B96C81">
        <w:rPr>
          <w:lang w:val="en-US"/>
        </w:rPr>
        <w:tab/>
      </w:r>
      <w:r w:rsidR="00822ADE" w:rsidRPr="00B96C81">
        <w:rPr>
          <w:lang w:val="en-US"/>
        </w:rPr>
        <w:t>Of which in: US dollars</w:t>
      </w:r>
    </w:p>
    <w:p w:rsidR="0017184B" w:rsidRPr="00B96C81" w:rsidRDefault="0017184B" w:rsidP="00A358A7">
      <w:pPr>
        <w:rPr>
          <w:lang w:val="en-US"/>
        </w:rPr>
      </w:pPr>
    </w:p>
    <w:p w:rsidR="00A60B2F" w:rsidRPr="00B96C81" w:rsidRDefault="00A60B2F" w:rsidP="00A60B2F">
      <w:pPr>
        <w:rPr>
          <w:b/>
          <w:lang w:val="en-US"/>
        </w:rPr>
      </w:pPr>
      <w:r w:rsidRPr="00B96C81">
        <w:rPr>
          <w:b/>
          <w:lang w:val="en-US"/>
        </w:rPr>
        <w:t xml:space="preserve">1.6 </w:t>
      </w:r>
      <w:proofErr w:type="spellStart"/>
      <w:r w:rsidRPr="00B96C81">
        <w:rPr>
          <w:b/>
          <w:lang w:val="en-US"/>
        </w:rPr>
        <w:t>Formulier</w:t>
      </w:r>
      <w:proofErr w:type="spellEnd"/>
      <w:r w:rsidRPr="00B96C81">
        <w:rPr>
          <w:b/>
          <w:lang w:val="en-US"/>
        </w:rPr>
        <w:t xml:space="preserve"> T9007HK4 - Total overview of write-downs and other price revaluations, additional information for total all sectors, not-allocated and grand total</w:t>
      </w:r>
    </w:p>
    <w:p w:rsidR="001544FF" w:rsidRPr="00B96C81" w:rsidRDefault="005902AE" w:rsidP="00A60B2F">
      <w:r w:rsidRPr="00B96C81">
        <w:t>Op formulier 900</w:t>
      </w:r>
      <w:r w:rsidR="00A60B2F" w:rsidRPr="00B96C81">
        <w:t>7HK4 dienen posten te worden opgenomen</w:t>
      </w:r>
      <w:r w:rsidR="0056770A" w:rsidRPr="00B96C81">
        <w:t>,</w:t>
      </w:r>
      <w:r w:rsidR="00A60B2F" w:rsidRPr="00B96C81">
        <w:t xml:space="preserve"> die niet naar land of sector zijn toe te rekenen: niet financiële vaste activa, bepaalde overige activa/passiva, kapitaal en reserves alsmede een uitsplitsing op uitgegeven schuldpapier.</w:t>
      </w:r>
    </w:p>
    <w:p w:rsidR="001544FF" w:rsidRPr="00B96C81" w:rsidRDefault="001544FF" w:rsidP="00A60B2F"/>
    <w:p w:rsidR="00A60B2F" w:rsidRPr="00B96C81" w:rsidRDefault="00A60B2F" w:rsidP="00A60B2F">
      <w:pPr>
        <w:rPr>
          <w:lang w:val="en-US"/>
        </w:rPr>
      </w:pPr>
      <w:r w:rsidRPr="00B96C81">
        <w:rPr>
          <w:lang w:val="en-US"/>
        </w:rPr>
        <w:t xml:space="preserve">Non-financial assets (including fixed assets) </w:t>
      </w:r>
      <w:proofErr w:type="spellStart"/>
      <w:r w:rsidRPr="00B96C81">
        <w:rPr>
          <w:lang w:val="en-US"/>
        </w:rPr>
        <w:t>krijgt</w:t>
      </w:r>
      <w:proofErr w:type="spellEnd"/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een</w:t>
      </w:r>
      <w:proofErr w:type="spellEnd"/>
      <w:r w:rsidRPr="00B96C81">
        <w:rPr>
          <w:lang w:val="en-US"/>
        </w:rPr>
        <w:t xml:space="preserve"> extra </w:t>
      </w:r>
      <w:proofErr w:type="spellStart"/>
      <w:r w:rsidRPr="00B96C81">
        <w:rPr>
          <w:lang w:val="en-US"/>
        </w:rPr>
        <w:t>uitsplitsing</w:t>
      </w:r>
      <w:proofErr w:type="spellEnd"/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naar</w:t>
      </w:r>
      <w:proofErr w:type="spellEnd"/>
      <w:r w:rsidRPr="00B96C81">
        <w:rPr>
          <w:lang w:val="en-US"/>
        </w:rPr>
        <w:t xml:space="preserve"> Real estate holdings. </w:t>
      </w:r>
    </w:p>
    <w:p w:rsidR="00A60B2F" w:rsidRPr="00B96C81" w:rsidRDefault="00A60B2F" w:rsidP="00A358A7">
      <w:pPr>
        <w:rPr>
          <w:lang w:val="en-US"/>
        </w:rPr>
      </w:pPr>
    </w:p>
    <w:p w:rsidR="001544FF" w:rsidRPr="00B96C81" w:rsidRDefault="001544FF" w:rsidP="00A358A7">
      <w:pPr>
        <w:rPr>
          <w:b/>
          <w:lang w:val="en-US"/>
        </w:rPr>
      </w:pPr>
      <w:r w:rsidRPr="00B96C81">
        <w:rPr>
          <w:b/>
          <w:lang w:val="en-US"/>
        </w:rPr>
        <w:lastRenderedPageBreak/>
        <w:t xml:space="preserve">1.7 Formulier T9013HK1 - Gross flows (sold vs. repurchased) of </w:t>
      </w:r>
      <w:proofErr w:type="spellStart"/>
      <w:r w:rsidRPr="00B96C81">
        <w:rPr>
          <w:b/>
          <w:lang w:val="en-US"/>
        </w:rPr>
        <w:t>securitised</w:t>
      </w:r>
      <w:proofErr w:type="spellEnd"/>
      <w:r w:rsidRPr="00B96C81">
        <w:rPr>
          <w:b/>
          <w:lang w:val="en-US"/>
        </w:rPr>
        <w:t xml:space="preserve"> loans transferred to FVCs - Transactions with effect on reported position of loans in MFI balance sheet (‘</w:t>
      </w:r>
      <w:proofErr w:type="spellStart"/>
      <w:r w:rsidRPr="00B96C81">
        <w:rPr>
          <w:b/>
          <w:lang w:val="en-US"/>
        </w:rPr>
        <w:t>derecognised</w:t>
      </w:r>
      <w:proofErr w:type="spellEnd"/>
      <w:r w:rsidRPr="00B96C81">
        <w:rPr>
          <w:b/>
          <w:lang w:val="en-US"/>
        </w:rPr>
        <w:t>’)</w:t>
      </w:r>
    </w:p>
    <w:p w:rsidR="001544FF" w:rsidRPr="00B96C81" w:rsidRDefault="00D6675A" w:rsidP="00A358A7">
      <w:r w:rsidRPr="00B96C81">
        <w:t xml:space="preserve">Op formulier 9013HK1 dienen bruto stromen met effect op de MFI balans gerapporteerd te worden. </w:t>
      </w:r>
    </w:p>
    <w:p w:rsidR="00D6675A" w:rsidRPr="00B96C81" w:rsidRDefault="00D6675A" w:rsidP="00A358A7"/>
    <w:p w:rsidR="00D6675A" w:rsidRPr="00B96C81" w:rsidRDefault="00D6675A" w:rsidP="00D6675A">
      <w:pPr>
        <w:rPr>
          <w:lang w:val="en-US"/>
        </w:rPr>
      </w:pPr>
      <w:r w:rsidRPr="00B96C81">
        <w:rPr>
          <w:lang w:val="en-US"/>
        </w:rPr>
        <w:t>Loans granted and deposits place</w:t>
      </w:r>
      <w:r w:rsidR="0056770A" w:rsidRPr="00B96C81">
        <w:rPr>
          <w:lang w:val="en-US"/>
        </w:rPr>
        <w:t>d</w:t>
      </w:r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heeft</w:t>
      </w:r>
      <w:proofErr w:type="spellEnd"/>
      <w:r w:rsidRPr="00B96C81">
        <w:rPr>
          <w:lang w:val="en-US"/>
        </w:rPr>
        <w:t xml:space="preserve"> nu </w:t>
      </w:r>
      <w:proofErr w:type="spellStart"/>
      <w:r w:rsidRPr="00B96C81">
        <w:rPr>
          <w:lang w:val="en-US"/>
        </w:rPr>
        <w:t>vier</w:t>
      </w:r>
      <w:proofErr w:type="spellEnd"/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looptijd</w:t>
      </w:r>
      <w:proofErr w:type="spellEnd"/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uitsplitsingen</w:t>
      </w:r>
      <w:proofErr w:type="spellEnd"/>
      <w:r w:rsidRPr="00B96C81">
        <w:rPr>
          <w:lang w:val="en-US"/>
        </w:rPr>
        <w:t xml:space="preserve">: </w:t>
      </w:r>
    </w:p>
    <w:p w:rsidR="00D6675A" w:rsidRPr="00B96C81" w:rsidRDefault="00D6675A" w:rsidP="00D6675A">
      <w:pPr>
        <w:rPr>
          <w:lang w:val="en-US"/>
        </w:rPr>
      </w:pPr>
    </w:p>
    <w:p w:rsidR="00D6675A" w:rsidRPr="00B96C81" w:rsidRDefault="00D6675A" w:rsidP="00D6675A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Maturity &lt;= 1 year</w:t>
      </w:r>
    </w:p>
    <w:p w:rsidR="00D6675A" w:rsidRPr="00B96C81" w:rsidRDefault="00D6675A" w:rsidP="00D6675A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&gt; 1 year maturity &lt;= 2 year</w:t>
      </w:r>
    </w:p>
    <w:p w:rsidR="00D6675A" w:rsidRPr="00B96C81" w:rsidRDefault="00D6675A" w:rsidP="00D6675A">
      <w:r w:rsidRPr="00B96C81">
        <w:t>•</w:t>
      </w:r>
      <w:r w:rsidRPr="00B96C81">
        <w:tab/>
        <w:t xml:space="preserve">&gt; 2 </w:t>
      </w:r>
      <w:proofErr w:type="spellStart"/>
      <w:r w:rsidRPr="00B96C81">
        <w:t>year</w:t>
      </w:r>
      <w:proofErr w:type="spellEnd"/>
      <w:r w:rsidRPr="00B96C81">
        <w:t xml:space="preserve"> </w:t>
      </w:r>
      <w:proofErr w:type="spellStart"/>
      <w:r w:rsidRPr="00B96C81">
        <w:t>maturity</w:t>
      </w:r>
      <w:proofErr w:type="spellEnd"/>
      <w:r w:rsidRPr="00B96C81">
        <w:t xml:space="preserve"> &lt;= 5 </w:t>
      </w:r>
      <w:proofErr w:type="spellStart"/>
      <w:r w:rsidRPr="00B96C81">
        <w:t>year</w:t>
      </w:r>
      <w:proofErr w:type="spellEnd"/>
    </w:p>
    <w:p w:rsidR="00D6675A" w:rsidRPr="00B96C81" w:rsidRDefault="00D6675A" w:rsidP="00D6675A">
      <w:r w:rsidRPr="00B96C81">
        <w:t>•</w:t>
      </w:r>
      <w:r w:rsidRPr="00B96C81">
        <w:tab/>
      </w:r>
      <w:proofErr w:type="spellStart"/>
      <w:r w:rsidRPr="00B96C81">
        <w:t>Maturity</w:t>
      </w:r>
      <w:proofErr w:type="spellEnd"/>
      <w:r w:rsidRPr="00B96C81">
        <w:t xml:space="preserve"> &gt; 5 </w:t>
      </w:r>
      <w:proofErr w:type="spellStart"/>
      <w:r w:rsidRPr="00B96C81">
        <w:t>year</w:t>
      </w:r>
      <w:proofErr w:type="spellEnd"/>
    </w:p>
    <w:p w:rsidR="00D6675A" w:rsidRPr="00B96C81" w:rsidRDefault="00D6675A" w:rsidP="00D6675A"/>
    <w:p w:rsidR="00D6675A" w:rsidRPr="00B96C81" w:rsidRDefault="00D6675A" w:rsidP="00D6675A">
      <w:r w:rsidRPr="00B96C81">
        <w:t>Daarnaast is op de z-as de optie ‘</w:t>
      </w:r>
      <w:proofErr w:type="spellStart"/>
      <w:r w:rsidRPr="00B96C81">
        <w:t>Servicer</w:t>
      </w:r>
      <w:proofErr w:type="spellEnd"/>
      <w:r w:rsidRPr="00B96C81">
        <w:t xml:space="preserve">’ toegevoegd. De rapporteur kan op deze manier aangeven of het </w:t>
      </w:r>
      <w:r w:rsidR="00C91BB5" w:rsidRPr="00B96C81">
        <w:t xml:space="preserve">de </w:t>
      </w:r>
      <w:proofErr w:type="spellStart"/>
      <w:r w:rsidR="00C91BB5" w:rsidRPr="00B96C81">
        <w:t>Loan</w:t>
      </w:r>
      <w:proofErr w:type="spellEnd"/>
      <w:r w:rsidR="00C91BB5" w:rsidRPr="00B96C81">
        <w:t xml:space="preserve"> </w:t>
      </w:r>
      <w:proofErr w:type="spellStart"/>
      <w:r w:rsidR="00C91BB5" w:rsidRPr="00B96C81">
        <w:t>servicing</w:t>
      </w:r>
      <w:proofErr w:type="spellEnd"/>
      <w:r w:rsidR="00C91BB5" w:rsidRPr="00B96C81">
        <w:t xml:space="preserve">-werkzaamheden verricht voor de </w:t>
      </w:r>
      <w:proofErr w:type="spellStart"/>
      <w:r w:rsidR="00096939" w:rsidRPr="00B96C81">
        <w:t>gesecuritiseerde</w:t>
      </w:r>
      <w:proofErr w:type="spellEnd"/>
      <w:r w:rsidR="00096939" w:rsidRPr="00B96C81">
        <w:t xml:space="preserve"> leningen</w:t>
      </w:r>
      <w:r w:rsidR="00C91BB5" w:rsidRPr="00B96C81">
        <w:t xml:space="preserve">. </w:t>
      </w:r>
    </w:p>
    <w:p w:rsidR="00C91BB5" w:rsidRPr="00B96C81" w:rsidRDefault="00C91BB5" w:rsidP="00D6675A"/>
    <w:p w:rsidR="00C91BB5" w:rsidRPr="00B96C81" w:rsidRDefault="00C91BB5" w:rsidP="00D6675A">
      <w:pPr>
        <w:rPr>
          <w:lang w:val="en-US"/>
        </w:rPr>
      </w:pPr>
      <w:r w:rsidRPr="00B96C81">
        <w:rPr>
          <w:b/>
          <w:lang w:val="en-US"/>
        </w:rPr>
        <w:t xml:space="preserve">1.8 Formulier T9013HK2 - Net flows (sales less repurchases) of </w:t>
      </w:r>
      <w:proofErr w:type="spellStart"/>
      <w:r w:rsidRPr="00B96C81">
        <w:rPr>
          <w:b/>
          <w:lang w:val="en-US"/>
        </w:rPr>
        <w:t>securitised</w:t>
      </w:r>
      <w:proofErr w:type="spellEnd"/>
      <w:r w:rsidRPr="00B96C81">
        <w:rPr>
          <w:b/>
          <w:lang w:val="en-US"/>
        </w:rPr>
        <w:t xml:space="preserve"> loans to FVCs - Transactions without effect on reported position of loans in MFI balance sheet (‘not </w:t>
      </w:r>
      <w:proofErr w:type="spellStart"/>
      <w:r w:rsidRPr="00B96C81">
        <w:rPr>
          <w:b/>
          <w:lang w:val="en-US"/>
        </w:rPr>
        <w:t>derecognised</w:t>
      </w:r>
      <w:proofErr w:type="spellEnd"/>
      <w:r w:rsidRPr="00B96C81">
        <w:rPr>
          <w:b/>
          <w:lang w:val="en-US"/>
        </w:rPr>
        <w:t>’)</w:t>
      </w:r>
    </w:p>
    <w:p w:rsidR="00D6675A" w:rsidRPr="00B96C81" w:rsidRDefault="00C91BB5" w:rsidP="00A358A7">
      <w:r w:rsidRPr="00B96C81">
        <w:t xml:space="preserve">Op formulier 9013HK2 dienen netto stromen zonder effect op de MFI balans gerapporteerd te worden. </w:t>
      </w:r>
    </w:p>
    <w:p w:rsidR="00C91BB5" w:rsidRPr="00B96C81" w:rsidRDefault="00C91BB5" w:rsidP="00A358A7"/>
    <w:p w:rsidR="00C91BB5" w:rsidRPr="00B96C81" w:rsidRDefault="00C91BB5" w:rsidP="00C91BB5">
      <w:pPr>
        <w:rPr>
          <w:lang w:val="en-US"/>
        </w:rPr>
      </w:pPr>
      <w:r w:rsidRPr="00B96C81">
        <w:rPr>
          <w:lang w:val="en-US"/>
        </w:rPr>
        <w:t xml:space="preserve">Loans granted and deposits places </w:t>
      </w:r>
      <w:proofErr w:type="spellStart"/>
      <w:r w:rsidRPr="00B96C81">
        <w:rPr>
          <w:lang w:val="en-US"/>
        </w:rPr>
        <w:t>heeft</w:t>
      </w:r>
      <w:proofErr w:type="spellEnd"/>
      <w:r w:rsidRPr="00B96C81">
        <w:rPr>
          <w:lang w:val="en-US"/>
        </w:rPr>
        <w:t xml:space="preserve"> nu </w:t>
      </w:r>
      <w:proofErr w:type="spellStart"/>
      <w:r w:rsidRPr="00B96C81">
        <w:rPr>
          <w:lang w:val="en-US"/>
        </w:rPr>
        <w:t>vier</w:t>
      </w:r>
      <w:proofErr w:type="spellEnd"/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looptijduitsplitsingen</w:t>
      </w:r>
      <w:proofErr w:type="spellEnd"/>
      <w:r w:rsidRPr="00B96C81">
        <w:rPr>
          <w:lang w:val="en-US"/>
        </w:rPr>
        <w:t xml:space="preserve">: </w:t>
      </w:r>
    </w:p>
    <w:p w:rsidR="00C91BB5" w:rsidRPr="00B96C81" w:rsidRDefault="00C91BB5" w:rsidP="00C91BB5">
      <w:pPr>
        <w:rPr>
          <w:lang w:val="en-US"/>
        </w:rPr>
      </w:pPr>
    </w:p>
    <w:p w:rsidR="00C91BB5" w:rsidRPr="00B96C81" w:rsidRDefault="00C91BB5" w:rsidP="00C91BB5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Maturity &lt;= 1 year</w:t>
      </w:r>
    </w:p>
    <w:p w:rsidR="00C91BB5" w:rsidRPr="00B96C81" w:rsidRDefault="00C91BB5" w:rsidP="00C91BB5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&gt; 1 year maturity &lt;= 2 year</w:t>
      </w:r>
    </w:p>
    <w:p w:rsidR="00C91BB5" w:rsidRPr="00B96C81" w:rsidRDefault="00C91BB5" w:rsidP="00C91BB5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&gt; 2 year maturity &lt;= 5 year</w:t>
      </w:r>
    </w:p>
    <w:p w:rsidR="00C91BB5" w:rsidRPr="00B96C81" w:rsidRDefault="00C91BB5" w:rsidP="00C91BB5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Maturity &gt; 5 year</w:t>
      </w:r>
    </w:p>
    <w:p w:rsidR="00C91BB5" w:rsidRPr="00B96C81" w:rsidRDefault="00C91BB5" w:rsidP="00A358A7">
      <w:pPr>
        <w:rPr>
          <w:lang w:val="en-US"/>
        </w:rPr>
      </w:pPr>
    </w:p>
    <w:p w:rsidR="00C91BB5" w:rsidRPr="00B96C81" w:rsidRDefault="00C91BB5" w:rsidP="00A358A7">
      <w:pPr>
        <w:rPr>
          <w:b/>
          <w:lang w:val="en-US"/>
        </w:rPr>
      </w:pPr>
      <w:r w:rsidRPr="00B96C81">
        <w:rPr>
          <w:b/>
          <w:lang w:val="en-US"/>
        </w:rPr>
        <w:t xml:space="preserve">1.9 Formulier T9013HK3 - Outstanding amounts of </w:t>
      </w:r>
      <w:proofErr w:type="spellStart"/>
      <w:r w:rsidRPr="00B96C81">
        <w:rPr>
          <w:b/>
          <w:lang w:val="en-US"/>
        </w:rPr>
        <w:t>securitised</w:t>
      </w:r>
      <w:proofErr w:type="spellEnd"/>
      <w:r w:rsidRPr="00B96C81">
        <w:rPr>
          <w:b/>
          <w:lang w:val="en-US"/>
        </w:rPr>
        <w:t xml:space="preserve"> loans transferred to FVCs (‘</w:t>
      </w:r>
      <w:proofErr w:type="spellStart"/>
      <w:r w:rsidRPr="00B96C81">
        <w:rPr>
          <w:b/>
          <w:lang w:val="en-US"/>
        </w:rPr>
        <w:t>derecognised</w:t>
      </w:r>
      <w:proofErr w:type="spellEnd"/>
      <w:r w:rsidRPr="00B96C81">
        <w:rPr>
          <w:b/>
          <w:lang w:val="en-US"/>
        </w:rPr>
        <w:t>’) serviced by reporting agent</w:t>
      </w:r>
    </w:p>
    <w:p w:rsidR="006D69A1" w:rsidRPr="00B96C81" w:rsidRDefault="006D69A1" w:rsidP="006D69A1">
      <w:r w:rsidRPr="00B96C81">
        <w:t xml:space="preserve">Op formulier 9013HK3 dienen de uitstaande bedragen van door Nederlandse </w:t>
      </w:r>
      <w:proofErr w:type="spellStart"/>
      <w:r w:rsidRPr="00B96C81">
        <w:t>MFI</w:t>
      </w:r>
      <w:r w:rsidR="00096939" w:rsidRPr="00B96C81">
        <w:t>’</w:t>
      </w:r>
      <w:r w:rsidRPr="00B96C81">
        <w:t>s</w:t>
      </w:r>
      <w:proofErr w:type="spellEnd"/>
      <w:r w:rsidRPr="00B96C81">
        <w:t xml:space="preserve"> </w:t>
      </w:r>
      <w:proofErr w:type="spellStart"/>
      <w:r w:rsidR="00096939" w:rsidRPr="00B96C81">
        <w:t>gesecuritiseerde</w:t>
      </w:r>
      <w:proofErr w:type="spellEnd"/>
      <w:r w:rsidR="00096939" w:rsidRPr="00B96C81">
        <w:t xml:space="preserve"> leningen</w:t>
      </w:r>
      <w:r w:rsidRPr="00B96C81">
        <w:t xml:space="preserve"> bij </w:t>
      </w:r>
      <w:proofErr w:type="spellStart"/>
      <w:r w:rsidRPr="00B96C81">
        <w:t>FVC’s</w:t>
      </w:r>
      <w:proofErr w:type="spellEnd"/>
      <w:r w:rsidRPr="00B96C81">
        <w:t xml:space="preserve"> te worden gerapporteerd.</w:t>
      </w:r>
    </w:p>
    <w:p w:rsidR="006D69A1" w:rsidRPr="00B96C81" w:rsidRDefault="006D69A1" w:rsidP="006D69A1"/>
    <w:p w:rsidR="006D69A1" w:rsidRPr="00B96C81" w:rsidRDefault="006D69A1" w:rsidP="006D69A1">
      <w:pPr>
        <w:rPr>
          <w:lang w:val="en-US"/>
        </w:rPr>
      </w:pPr>
      <w:r w:rsidRPr="00B96C81">
        <w:rPr>
          <w:lang w:val="en-US"/>
        </w:rPr>
        <w:t xml:space="preserve">Loans granted and deposits places </w:t>
      </w:r>
      <w:proofErr w:type="spellStart"/>
      <w:r w:rsidRPr="00B96C81">
        <w:rPr>
          <w:lang w:val="en-US"/>
        </w:rPr>
        <w:t>heeft</w:t>
      </w:r>
      <w:proofErr w:type="spellEnd"/>
      <w:r w:rsidRPr="00B96C81">
        <w:rPr>
          <w:lang w:val="en-US"/>
        </w:rPr>
        <w:t xml:space="preserve"> nu </w:t>
      </w:r>
      <w:proofErr w:type="spellStart"/>
      <w:r w:rsidRPr="00B96C81">
        <w:rPr>
          <w:lang w:val="en-US"/>
        </w:rPr>
        <w:t>vier</w:t>
      </w:r>
      <w:proofErr w:type="spellEnd"/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looptijduitsplitsingen</w:t>
      </w:r>
      <w:proofErr w:type="spellEnd"/>
      <w:r w:rsidRPr="00B96C81">
        <w:rPr>
          <w:lang w:val="en-US"/>
        </w:rPr>
        <w:t xml:space="preserve">: </w:t>
      </w:r>
    </w:p>
    <w:p w:rsidR="006D69A1" w:rsidRPr="00B96C81" w:rsidRDefault="006D69A1" w:rsidP="006D69A1">
      <w:pPr>
        <w:rPr>
          <w:lang w:val="en-US"/>
        </w:rPr>
      </w:pPr>
    </w:p>
    <w:p w:rsidR="006D69A1" w:rsidRPr="00B96C81" w:rsidRDefault="006D69A1" w:rsidP="006D69A1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Maturity &lt;= 1 year</w:t>
      </w:r>
    </w:p>
    <w:p w:rsidR="006D69A1" w:rsidRPr="00B96C81" w:rsidRDefault="006D69A1" w:rsidP="006D69A1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&gt; 1 year maturity &lt;= 2 year</w:t>
      </w:r>
    </w:p>
    <w:p w:rsidR="006D69A1" w:rsidRPr="00B96C81" w:rsidRDefault="006D69A1" w:rsidP="006D69A1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&gt; 2 year maturity &lt;= 5 year</w:t>
      </w:r>
    </w:p>
    <w:p w:rsidR="00E532CC" w:rsidRPr="00B96C81" w:rsidRDefault="006D69A1" w:rsidP="006D69A1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Maturity &gt; 5 year</w:t>
      </w:r>
    </w:p>
    <w:p w:rsidR="00E532CC" w:rsidRPr="00B96C81" w:rsidRDefault="00E532CC" w:rsidP="006D69A1">
      <w:pPr>
        <w:rPr>
          <w:lang w:val="en-US"/>
        </w:rPr>
      </w:pPr>
    </w:p>
    <w:p w:rsidR="006D69A1" w:rsidRPr="00B96C81" w:rsidRDefault="006D69A1" w:rsidP="006D69A1">
      <w:pPr>
        <w:rPr>
          <w:lang w:val="en-US"/>
        </w:rPr>
      </w:pPr>
      <w:r w:rsidRPr="00B96C81">
        <w:rPr>
          <w:b/>
          <w:lang w:val="en-US"/>
        </w:rPr>
        <w:t xml:space="preserve">1.10 </w:t>
      </w:r>
      <w:proofErr w:type="spellStart"/>
      <w:r w:rsidRPr="00B96C81">
        <w:rPr>
          <w:b/>
          <w:lang w:val="en-US"/>
        </w:rPr>
        <w:t>Formulier</w:t>
      </w:r>
      <w:proofErr w:type="spellEnd"/>
      <w:r w:rsidRPr="00B96C81">
        <w:rPr>
          <w:b/>
          <w:lang w:val="en-US"/>
        </w:rPr>
        <w:t xml:space="preserve"> T9013HK4 - Outstanding amounts of </w:t>
      </w:r>
      <w:proofErr w:type="spellStart"/>
      <w:r w:rsidRPr="00B96C81">
        <w:rPr>
          <w:b/>
          <w:lang w:val="en-US"/>
        </w:rPr>
        <w:t>securitised</w:t>
      </w:r>
      <w:proofErr w:type="spellEnd"/>
      <w:r w:rsidRPr="00B96C81">
        <w:rPr>
          <w:b/>
          <w:lang w:val="en-US"/>
        </w:rPr>
        <w:t xml:space="preserve"> loans not </w:t>
      </w:r>
      <w:proofErr w:type="spellStart"/>
      <w:r w:rsidRPr="00B96C81">
        <w:rPr>
          <w:b/>
          <w:lang w:val="en-US"/>
        </w:rPr>
        <w:t>tranferred</w:t>
      </w:r>
      <w:proofErr w:type="spellEnd"/>
      <w:r w:rsidRPr="00B96C81">
        <w:rPr>
          <w:b/>
          <w:lang w:val="en-US"/>
        </w:rPr>
        <w:t xml:space="preserve"> to FVCs ('not </w:t>
      </w:r>
      <w:proofErr w:type="spellStart"/>
      <w:r w:rsidRPr="00B96C81">
        <w:rPr>
          <w:b/>
          <w:lang w:val="en-US"/>
        </w:rPr>
        <w:t>derecognised</w:t>
      </w:r>
      <w:proofErr w:type="spellEnd"/>
      <w:r w:rsidRPr="00B96C81">
        <w:rPr>
          <w:b/>
          <w:lang w:val="en-US"/>
        </w:rPr>
        <w:t>')</w:t>
      </w:r>
    </w:p>
    <w:p w:rsidR="006D69A1" w:rsidRPr="00B96C81" w:rsidRDefault="006D69A1" w:rsidP="006D69A1">
      <w:r w:rsidRPr="00B96C81">
        <w:t xml:space="preserve">Op formulier 9013HK4 dienen de standen van </w:t>
      </w:r>
      <w:proofErr w:type="spellStart"/>
      <w:r w:rsidRPr="00B96C81">
        <w:t>gesecuritiseerde</w:t>
      </w:r>
      <w:proofErr w:type="spellEnd"/>
      <w:r w:rsidRPr="00B96C81">
        <w:t xml:space="preserve"> leningen</w:t>
      </w:r>
      <w:r w:rsidR="0056770A" w:rsidRPr="00B96C81">
        <w:t>,</w:t>
      </w:r>
      <w:r w:rsidRPr="00B96C81">
        <w:t xml:space="preserve"> die niet van de MFI-balans zijn verwijderd</w:t>
      </w:r>
      <w:r w:rsidR="0056770A" w:rsidRPr="00B96C81">
        <w:t>,</w:t>
      </w:r>
      <w:r w:rsidRPr="00B96C81">
        <w:t xml:space="preserve"> te worden gerapporteerd. </w:t>
      </w:r>
    </w:p>
    <w:p w:rsidR="008929E4" w:rsidRPr="00B96C81" w:rsidRDefault="008929E4" w:rsidP="006D69A1"/>
    <w:p w:rsidR="008929E4" w:rsidRPr="00B96C81" w:rsidRDefault="008929E4" w:rsidP="008929E4">
      <w:pPr>
        <w:rPr>
          <w:lang w:val="en-US"/>
        </w:rPr>
      </w:pPr>
      <w:r w:rsidRPr="00B96C81">
        <w:rPr>
          <w:lang w:val="en-US"/>
        </w:rPr>
        <w:t xml:space="preserve">Loans granted and deposits places </w:t>
      </w:r>
      <w:proofErr w:type="spellStart"/>
      <w:r w:rsidRPr="00B96C81">
        <w:rPr>
          <w:lang w:val="en-US"/>
        </w:rPr>
        <w:t>heeft</w:t>
      </w:r>
      <w:proofErr w:type="spellEnd"/>
      <w:r w:rsidRPr="00B96C81">
        <w:rPr>
          <w:lang w:val="en-US"/>
        </w:rPr>
        <w:t xml:space="preserve"> nu </w:t>
      </w:r>
      <w:proofErr w:type="spellStart"/>
      <w:r w:rsidRPr="00B96C81">
        <w:rPr>
          <w:lang w:val="en-US"/>
        </w:rPr>
        <w:t>vier</w:t>
      </w:r>
      <w:proofErr w:type="spellEnd"/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looptijduitsplitsingen</w:t>
      </w:r>
      <w:proofErr w:type="spellEnd"/>
      <w:r w:rsidRPr="00B96C81">
        <w:rPr>
          <w:lang w:val="en-US"/>
        </w:rPr>
        <w:t xml:space="preserve">: </w:t>
      </w:r>
    </w:p>
    <w:p w:rsidR="008929E4" w:rsidRPr="00B96C81" w:rsidRDefault="008929E4" w:rsidP="008929E4">
      <w:pPr>
        <w:rPr>
          <w:lang w:val="en-US"/>
        </w:rPr>
      </w:pPr>
    </w:p>
    <w:p w:rsidR="008929E4" w:rsidRPr="00B96C81" w:rsidRDefault="008929E4" w:rsidP="008929E4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Maturity &lt;= 1 year</w:t>
      </w:r>
    </w:p>
    <w:p w:rsidR="008929E4" w:rsidRPr="00B96C81" w:rsidRDefault="008929E4" w:rsidP="008929E4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&gt; 1 year maturity &lt;= 2 year</w:t>
      </w:r>
    </w:p>
    <w:p w:rsidR="008929E4" w:rsidRPr="00B96C81" w:rsidRDefault="008929E4" w:rsidP="008929E4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&gt; 2 year maturity &lt;= 5 year</w:t>
      </w:r>
    </w:p>
    <w:p w:rsidR="008929E4" w:rsidRPr="00B96C81" w:rsidRDefault="008929E4" w:rsidP="008929E4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Maturity &gt; 5 year</w:t>
      </w:r>
    </w:p>
    <w:p w:rsidR="008929E4" w:rsidRPr="00B96C81" w:rsidRDefault="008929E4" w:rsidP="006D69A1">
      <w:pPr>
        <w:rPr>
          <w:lang w:val="en-US"/>
        </w:rPr>
      </w:pPr>
    </w:p>
    <w:p w:rsidR="008929E4" w:rsidRPr="00B96C81" w:rsidRDefault="008929E4" w:rsidP="008929E4">
      <w:pPr>
        <w:rPr>
          <w:b/>
        </w:rPr>
      </w:pPr>
      <w:r w:rsidRPr="00B96C81">
        <w:rPr>
          <w:b/>
          <w:lang w:val="en-US"/>
        </w:rPr>
        <w:lastRenderedPageBreak/>
        <w:t xml:space="preserve">1.11 Formulier T9013HK5 - Gross flows (sales/repurchases) of loans transferred to non-FVCs. </w:t>
      </w:r>
      <w:proofErr w:type="spellStart"/>
      <w:r w:rsidRPr="00B96C81">
        <w:rPr>
          <w:b/>
        </w:rPr>
        <w:t>With</w:t>
      </w:r>
      <w:proofErr w:type="spellEnd"/>
      <w:r w:rsidRPr="00B96C81">
        <w:rPr>
          <w:b/>
        </w:rPr>
        <w:t xml:space="preserve"> impact on </w:t>
      </w:r>
      <w:proofErr w:type="spellStart"/>
      <w:r w:rsidRPr="00B96C81">
        <w:rPr>
          <w:b/>
        </w:rPr>
        <w:t>reported</w:t>
      </w:r>
      <w:proofErr w:type="spellEnd"/>
      <w:r w:rsidRPr="00B96C81">
        <w:rPr>
          <w:b/>
        </w:rPr>
        <w:t xml:space="preserve"> stock</w:t>
      </w:r>
    </w:p>
    <w:p w:rsidR="008929E4" w:rsidRPr="00B96C81" w:rsidRDefault="008929E4" w:rsidP="008929E4">
      <w:r w:rsidRPr="00B96C81">
        <w:t>Op formulier 9013HK5 dienen bruto stromen van overdrachten met effect op de MFI-balans aan niet-</w:t>
      </w:r>
      <w:proofErr w:type="spellStart"/>
      <w:r w:rsidRPr="00B96C81">
        <w:t>SPV’s</w:t>
      </w:r>
      <w:proofErr w:type="spellEnd"/>
      <w:r w:rsidRPr="00B96C81">
        <w:t xml:space="preserve"> gerapporteerd te worden.</w:t>
      </w:r>
    </w:p>
    <w:p w:rsidR="008929E4" w:rsidRPr="00B96C81" w:rsidRDefault="008929E4" w:rsidP="008929E4">
      <w:pPr>
        <w:rPr>
          <w:b/>
        </w:rPr>
      </w:pPr>
    </w:p>
    <w:p w:rsidR="008929E4" w:rsidRPr="00B96C81" w:rsidRDefault="008929E4" w:rsidP="008929E4">
      <w:pPr>
        <w:rPr>
          <w:lang w:val="en-US"/>
        </w:rPr>
      </w:pPr>
      <w:r w:rsidRPr="00B96C81">
        <w:rPr>
          <w:lang w:val="en-US"/>
        </w:rPr>
        <w:t xml:space="preserve">Loans granted and deposits places </w:t>
      </w:r>
      <w:proofErr w:type="spellStart"/>
      <w:r w:rsidRPr="00B96C81">
        <w:rPr>
          <w:lang w:val="en-US"/>
        </w:rPr>
        <w:t>heeft</w:t>
      </w:r>
      <w:proofErr w:type="spellEnd"/>
      <w:r w:rsidRPr="00B96C81">
        <w:rPr>
          <w:lang w:val="en-US"/>
        </w:rPr>
        <w:t xml:space="preserve"> nu </w:t>
      </w:r>
      <w:proofErr w:type="spellStart"/>
      <w:r w:rsidRPr="00B96C81">
        <w:rPr>
          <w:lang w:val="en-US"/>
        </w:rPr>
        <w:t>vier</w:t>
      </w:r>
      <w:proofErr w:type="spellEnd"/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looptijduitsplitsingen</w:t>
      </w:r>
      <w:proofErr w:type="spellEnd"/>
      <w:r w:rsidRPr="00B96C81">
        <w:rPr>
          <w:lang w:val="en-US"/>
        </w:rPr>
        <w:t xml:space="preserve">: </w:t>
      </w:r>
    </w:p>
    <w:p w:rsidR="008929E4" w:rsidRPr="00B96C81" w:rsidRDefault="008929E4" w:rsidP="008929E4">
      <w:pPr>
        <w:rPr>
          <w:lang w:val="en-US"/>
        </w:rPr>
      </w:pPr>
    </w:p>
    <w:p w:rsidR="008929E4" w:rsidRPr="00B96C81" w:rsidRDefault="008929E4" w:rsidP="008929E4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Maturity &lt;= 1 year</w:t>
      </w:r>
    </w:p>
    <w:p w:rsidR="008929E4" w:rsidRPr="00B96C81" w:rsidRDefault="008929E4" w:rsidP="008929E4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&gt; 1 year maturity &lt;= 2 year</w:t>
      </w:r>
    </w:p>
    <w:p w:rsidR="008929E4" w:rsidRPr="00B96C81" w:rsidRDefault="008929E4" w:rsidP="008929E4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&gt; 2 year maturity &lt;= 5 year</w:t>
      </w:r>
    </w:p>
    <w:p w:rsidR="008929E4" w:rsidRPr="00B96C81" w:rsidRDefault="008929E4" w:rsidP="008929E4">
      <w:pPr>
        <w:rPr>
          <w:lang w:val="en-US"/>
        </w:rPr>
      </w:pPr>
      <w:r w:rsidRPr="00B96C81">
        <w:rPr>
          <w:lang w:val="en-US"/>
        </w:rPr>
        <w:t>•</w:t>
      </w:r>
      <w:r w:rsidRPr="00B96C81">
        <w:rPr>
          <w:lang w:val="en-US"/>
        </w:rPr>
        <w:tab/>
        <w:t>Maturity &gt; 5 year</w:t>
      </w:r>
    </w:p>
    <w:p w:rsidR="007C4D4A" w:rsidRPr="00B96C81" w:rsidRDefault="007C4D4A" w:rsidP="008929E4">
      <w:pPr>
        <w:rPr>
          <w:lang w:val="en-US"/>
        </w:rPr>
      </w:pPr>
    </w:p>
    <w:p w:rsidR="007C4D4A" w:rsidRPr="00B96C81" w:rsidRDefault="007C4D4A" w:rsidP="007C4D4A">
      <w:pPr>
        <w:rPr>
          <w:lang w:val="en-US"/>
        </w:rPr>
      </w:pPr>
      <w:r w:rsidRPr="00B96C81">
        <w:rPr>
          <w:lang w:val="en-US"/>
        </w:rPr>
        <w:t>Variant ‘Counter country</w:t>
      </w:r>
      <w:r w:rsidR="00CB21DA" w:rsidRPr="00B96C81">
        <w:rPr>
          <w:lang w:val="en-US"/>
        </w:rPr>
        <w:t>/</w:t>
      </w:r>
      <w:r w:rsidRPr="00B96C81">
        <w:rPr>
          <w:lang w:val="en-US"/>
        </w:rPr>
        <w:t xml:space="preserve">group of transfer’ </w:t>
      </w:r>
      <w:proofErr w:type="spellStart"/>
      <w:r w:rsidRPr="00B96C81">
        <w:rPr>
          <w:lang w:val="en-US"/>
        </w:rPr>
        <w:t>wordt</w:t>
      </w:r>
      <w:proofErr w:type="spellEnd"/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uitgebreid</w:t>
      </w:r>
      <w:proofErr w:type="spellEnd"/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naar</w:t>
      </w:r>
      <w:proofErr w:type="spellEnd"/>
      <w:r w:rsidRPr="00B96C81">
        <w:rPr>
          <w:lang w:val="en-US"/>
        </w:rPr>
        <w:t xml:space="preserve"> Netherlands, rest of euro area (U5) en rest of the world [outside EMU area] (U4). </w:t>
      </w:r>
    </w:p>
    <w:p w:rsidR="008929E4" w:rsidRPr="00B96C81" w:rsidRDefault="008929E4" w:rsidP="008929E4">
      <w:pPr>
        <w:rPr>
          <w:lang w:val="en-US"/>
        </w:rPr>
      </w:pPr>
    </w:p>
    <w:p w:rsidR="008929E4" w:rsidRPr="00B96C81" w:rsidRDefault="008929E4" w:rsidP="008929E4">
      <w:r w:rsidRPr="00B96C81">
        <w:t>Daarnaast is op de z-as de optie ‘</w:t>
      </w:r>
      <w:proofErr w:type="spellStart"/>
      <w:r w:rsidRPr="00B96C81">
        <w:t>Servicer</w:t>
      </w:r>
      <w:proofErr w:type="spellEnd"/>
      <w:r w:rsidRPr="00B96C81">
        <w:t xml:space="preserve">’ toegevoegd. De rapporteur kan op deze manier aangeven of het de </w:t>
      </w:r>
      <w:proofErr w:type="spellStart"/>
      <w:r w:rsidRPr="00B96C81">
        <w:t>Loan</w:t>
      </w:r>
      <w:proofErr w:type="spellEnd"/>
      <w:r w:rsidRPr="00B96C81">
        <w:t xml:space="preserve"> </w:t>
      </w:r>
      <w:proofErr w:type="spellStart"/>
      <w:r w:rsidRPr="00B96C81">
        <w:t>servicing</w:t>
      </w:r>
      <w:proofErr w:type="spellEnd"/>
      <w:r w:rsidRPr="00B96C81">
        <w:t>-werkzaamheden verricht</w:t>
      </w:r>
      <w:r w:rsidR="00096939" w:rsidRPr="00B96C81">
        <w:t xml:space="preserve"> voor de </w:t>
      </w:r>
      <w:r w:rsidRPr="00B96C81">
        <w:t>overgedragen leningen.</w:t>
      </w:r>
    </w:p>
    <w:p w:rsidR="00E532CC" w:rsidRPr="00B96C81" w:rsidRDefault="00E532CC" w:rsidP="008929E4">
      <w:pPr>
        <w:rPr>
          <w:b/>
          <w:sz w:val="22"/>
          <w:szCs w:val="22"/>
        </w:rPr>
      </w:pPr>
    </w:p>
    <w:p w:rsidR="008929E4" w:rsidRPr="00B96C81" w:rsidRDefault="008929E4" w:rsidP="008929E4">
      <w:pPr>
        <w:rPr>
          <w:b/>
          <w:sz w:val="22"/>
          <w:szCs w:val="22"/>
          <w:lang w:val="en-US"/>
        </w:rPr>
      </w:pPr>
      <w:r w:rsidRPr="00B96C81">
        <w:rPr>
          <w:b/>
          <w:sz w:val="22"/>
          <w:szCs w:val="22"/>
          <w:lang w:val="en-US"/>
        </w:rPr>
        <w:t xml:space="preserve">2. </w:t>
      </w:r>
      <w:proofErr w:type="spellStart"/>
      <w:r w:rsidRPr="00B96C81">
        <w:rPr>
          <w:b/>
          <w:sz w:val="22"/>
          <w:szCs w:val="22"/>
          <w:lang w:val="en-US"/>
        </w:rPr>
        <w:t>Toevoeging</w:t>
      </w:r>
      <w:proofErr w:type="spellEnd"/>
      <w:r w:rsidRPr="00B96C81">
        <w:rPr>
          <w:b/>
          <w:sz w:val="22"/>
          <w:szCs w:val="22"/>
          <w:lang w:val="en-US"/>
        </w:rPr>
        <w:t xml:space="preserve"> van </w:t>
      </w:r>
      <w:proofErr w:type="spellStart"/>
      <w:r w:rsidRPr="00B96C81">
        <w:rPr>
          <w:b/>
          <w:sz w:val="22"/>
          <w:szCs w:val="22"/>
          <w:lang w:val="en-US"/>
        </w:rPr>
        <w:t>nieuwe</w:t>
      </w:r>
      <w:proofErr w:type="spellEnd"/>
      <w:r w:rsidRPr="00B96C81">
        <w:rPr>
          <w:b/>
          <w:sz w:val="22"/>
          <w:szCs w:val="22"/>
          <w:lang w:val="en-US"/>
        </w:rPr>
        <w:t xml:space="preserve"> </w:t>
      </w:r>
      <w:proofErr w:type="spellStart"/>
      <w:r w:rsidRPr="00B96C81">
        <w:rPr>
          <w:b/>
          <w:sz w:val="22"/>
          <w:szCs w:val="22"/>
          <w:lang w:val="en-US"/>
        </w:rPr>
        <w:t>formulieren</w:t>
      </w:r>
      <w:proofErr w:type="spellEnd"/>
    </w:p>
    <w:p w:rsidR="008929E4" w:rsidRPr="00B96C81" w:rsidRDefault="008929E4" w:rsidP="008929E4">
      <w:pPr>
        <w:rPr>
          <w:b/>
          <w:sz w:val="22"/>
          <w:szCs w:val="22"/>
          <w:lang w:val="en-US"/>
        </w:rPr>
      </w:pPr>
    </w:p>
    <w:p w:rsidR="008929E4" w:rsidRPr="00B96C81" w:rsidRDefault="00EB30A2" w:rsidP="008929E4">
      <w:pPr>
        <w:rPr>
          <w:b/>
          <w:sz w:val="22"/>
          <w:szCs w:val="22"/>
        </w:rPr>
      </w:pPr>
      <w:r w:rsidRPr="00B96C81">
        <w:rPr>
          <w:b/>
          <w:lang w:val="en-US"/>
        </w:rPr>
        <w:t xml:space="preserve">2.1 Formulier T9013HK6 - Outstanding amount of loans transferred to non-FVCs and serviced by reporting agent. </w:t>
      </w:r>
      <w:proofErr w:type="spellStart"/>
      <w:r w:rsidRPr="00B96C81">
        <w:rPr>
          <w:b/>
        </w:rPr>
        <w:t>With</w:t>
      </w:r>
      <w:proofErr w:type="spellEnd"/>
      <w:r w:rsidRPr="00B96C81">
        <w:rPr>
          <w:b/>
        </w:rPr>
        <w:t xml:space="preserve"> impact on </w:t>
      </w:r>
      <w:proofErr w:type="spellStart"/>
      <w:r w:rsidRPr="00B96C81">
        <w:rPr>
          <w:b/>
        </w:rPr>
        <w:t>reported</w:t>
      </w:r>
      <w:proofErr w:type="spellEnd"/>
      <w:r w:rsidRPr="00B96C81">
        <w:rPr>
          <w:b/>
        </w:rPr>
        <w:t xml:space="preserve"> stock</w:t>
      </w:r>
    </w:p>
    <w:p w:rsidR="008929E4" w:rsidRPr="00B96C81" w:rsidRDefault="00EB30A2" w:rsidP="008929E4">
      <w:pPr>
        <w:rPr>
          <w:lang w:val="en-US"/>
        </w:rPr>
      </w:pPr>
      <w:r w:rsidRPr="00B96C81">
        <w:t xml:space="preserve">Op formulier 9013HK6 dienen de uitstaande bedragen van door Nederlandse </w:t>
      </w:r>
      <w:proofErr w:type="spellStart"/>
      <w:r w:rsidRPr="00B96C81">
        <w:t>MFI</w:t>
      </w:r>
      <w:r w:rsidR="00840B48" w:rsidRPr="00B96C81">
        <w:t>’s</w:t>
      </w:r>
      <w:proofErr w:type="spellEnd"/>
      <w:r w:rsidR="00840B48" w:rsidRPr="00B96C81">
        <w:t xml:space="preserve"> </w:t>
      </w:r>
      <w:r w:rsidRPr="00B96C81">
        <w:t>overgedragen leningen</w:t>
      </w:r>
      <w:r w:rsidR="00840B48" w:rsidRPr="00B96C81">
        <w:t xml:space="preserve"> aan niet-</w:t>
      </w:r>
      <w:proofErr w:type="spellStart"/>
      <w:r w:rsidR="00840B48" w:rsidRPr="00B96C81">
        <w:t>FVC’s</w:t>
      </w:r>
      <w:proofErr w:type="spellEnd"/>
      <w:r w:rsidRPr="00B96C81">
        <w:t xml:space="preserve">, waarvoor de rapporterende MFI als </w:t>
      </w:r>
      <w:proofErr w:type="spellStart"/>
      <w:r w:rsidRPr="00B96C81">
        <w:t>Servicer</w:t>
      </w:r>
      <w:proofErr w:type="spellEnd"/>
      <w:r w:rsidRPr="00B96C81">
        <w:t xml:space="preserve"> acteert, gerapporteerd te worden. </w:t>
      </w:r>
      <w:r w:rsidR="00840B48" w:rsidRPr="00B96C81">
        <w:rPr>
          <w:lang w:val="en-US"/>
        </w:rPr>
        <w:t xml:space="preserve">Met effect op de MFI </w:t>
      </w:r>
      <w:proofErr w:type="spellStart"/>
      <w:r w:rsidR="00840B48" w:rsidRPr="00B96C81">
        <w:rPr>
          <w:lang w:val="en-US"/>
        </w:rPr>
        <w:t>balans</w:t>
      </w:r>
      <w:proofErr w:type="spellEnd"/>
      <w:r w:rsidR="00840B48" w:rsidRPr="00B96C81">
        <w:rPr>
          <w:lang w:val="en-US"/>
        </w:rPr>
        <w:t>.</w:t>
      </w:r>
    </w:p>
    <w:p w:rsidR="00EB30A2" w:rsidRPr="00B96C81" w:rsidRDefault="00EB30A2" w:rsidP="008929E4">
      <w:pPr>
        <w:rPr>
          <w:lang w:val="en-US"/>
        </w:rPr>
      </w:pPr>
    </w:p>
    <w:p w:rsidR="00840B48" w:rsidRPr="00B96C81" w:rsidRDefault="00840B48" w:rsidP="00840B48">
      <w:pPr>
        <w:rPr>
          <w:b/>
          <w:sz w:val="22"/>
          <w:szCs w:val="22"/>
        </w:rPr>
      </w:pPr>
      <w:r w:rsidRPr="00B96C81">
        <w:rPr>
          <w:b/>
          <w:lang w:val="en-US"/>
        </w:rPr>
        <w:t xml:space="preserve">2.2 Formulier T9013HK7 - Net flows (sales less repurchases) of loans transferred to non-FVCs. </w:t>
      </w:r>
      <w:r w:rsidRPr="00B96C81">
        <w:rPr>
          <w:b/>
        </w:rPr>
        <w:t xml:space="preserve">Without impact on </w:t>
      </w:r>
      <w:proofErr w:type="spellStart"/>
      <w:r w:rsidRPr="00B96C81">
        <w:rPr>
          <w:b/>
        </w:rPr>
        <w:t>reported</w:t>
      </w:r>
      <w:proofErr w:type="spellEnd"/>
      <w:r w:rsidRPr="00B96C81">
        <w:rPr>
          <w:b/>
        </w:rPr>
        <w:t xml:space="preserve"> stock</w:t>
      </w:r>
    </w:p>
    <w:p w:rsidR="00EB30A2" w:rsidRPr="00B96C81" w:rsidRDefault="00840B48" w:rsidP="008929E4">
      <w:pPr>
        <w:rPr>
          <w:lang w:val="en-US"/>
        </w:rPr>
      </w:pPr>
      <w:r w:rsidRPr="00B96C81">
        <w:t>Op formulier 9013HK7 dienen netto stromen van overgedragen leningen aan niet-</w:t>
      </w:r>
      <w:proofErr w:type="spellStart"/>
      <w:r w:rsidRPr="00B96C81">
        <w:t>FVC’s</w:t>
      </w:r>
      <w:proofErr w:type="spellEnd"/>
      <w:r w:rsidRPr="00B96C81">
        <w:t xml:space="preserve"> gerapporteerd te worden. </w:t>
      </w:r>
      <w:proofErr w:type="spellStart"/>
      <w:r w:rsidRPr="00B96C81">
        <w:rPr>
          <w:lang w:val="en-US"/>
        </w:rPr>
        <w:t>Zonder</w:t>
      </w:r>
      <w:proofErr w:type="spellEnd"/>
      <w:r w:rsidRPr="00B96C81">
        <w:rPr>
          <w:lang w:val="en-US"/>
        </w:rPr>
        <w:t xml:space="preserve"> effect op de MFI </w:t>
      </w:r>
      <w:proofErr w:type="spellStart"/>
      <w:r w:rsidRPr="00B96C81">
        <w:rPr>
          <w:lang w:val="en-US"/>
        </w:rPr>
        <w:t>balans</w:t>
      </w:r>
      <w:proofErr w:type="spellEnd"/>
      <w:r w:rsidRPr="00B96C81">
        <w:rPr>
          <w:lang w:val="en-US"/>
        </w:rPr>
        <w:t>.</w:t>
      </w:r>
    </w:p>
    <w:p w:rsidR="00840B48" w:rsidRPr="00B96C81" w:rsidRDefault="00840B48" w:rsidP="008929E4">
      <w:pPr>
        <w:rPr>
          <w:lang w:val="en-US"/>
        </w:rPr>
      </w:pPr>
    </w:p>
    <w:p w:rsidR="00840B48" w:rsidRPr="00B96C81" w:rsidRDefault="00840B48" w:rsidP="00840B48">
      <w:pPr>
        <w:rPr>
          <w:b/>
          <w:sz w:val="22"/>
          <w:szCs w:val="22"/>
        </w:rPr>
      </w:pPr>
      <w:r w:rsidRPr="00B96C81">
        <w:rPr>
          <w:b/>
          <w:lang w:val="en-US"/>
        </w:rPr>
        <w:t xml:space="preserve">2.3 Formulier T9013HK8 - Outstanding amount of loans transferred to non-FVCs and serviced by reporting agent. </w:t>
      </w:r>
      <w:r w:rsidRPr="00B96C81">
        <w:rPr>
          <w:b/>
        </w:rPr>
        <w:t xml:space="preserve">Without impact on </w:t>
      </w:r>
      <w:proofErr w:type="spellStart"/>
      <w:r w:rsidRPr="00B96C81">
        <w:rPr>
          <w:b/>
        </w:rPr>
        <w:t>reported</w:t>
      </w:r>
      <w:proofErr w:type="spellEnd"/>
      <w:r w:rsidRPr="00B96C81">
        <w:rPr>
          <w:b/>
        </w:rPr>
        <w:t xml:space="preserve"> stock</w:t>
      </w:r>
    </w:p>
    <w:p w:rsidR="00253962" w:rsidRPr="00B96C81" w:rsidRDefault="00253962" w:rsidP="00253962">
      <w:pPr>
        <w:rPr>
          <w:lang w:val="en-US"/>
        </w:rPr>
      </w:pPr>
      <w:r w:rsidRPr="00B96C81">
        <w:t>Op formulier 9013HK</w:t>
      </w:r>
      <w:r w:rsidR="00CD4190" w:rsidRPr="00B96C81">
        <w:t>8</w:t>
      </w:r>
      <w:r w:rsidRPr="00B96C81">
        <w:t xml:space="preserve"> dienen de uitstaande bedragen van door Nederlandse </w:t>
      </w:r>
      <w:proofErr w:type="spellStart"/>
      <w:r w:rsidRPr="00B96C81">
        <w:t>MFI’s</w:t>
      </w:r>
      <w:proofErr w:type="spellEnd"/>
      <w:r w:rsidRPr="00B96C81">
        <w:t xml:space="preserve"> overgedragen leningen aan niet-</w:t>
      </w:r>
      <w:proofErr w:type="spellStart"/>
      <w:r w:rsidRPr="00B96C81">
        <w:t>FVC’s</w:t>
      </w:r>
      <w:proofErr w:type="spellEnd"/>
      <w:r w:rsidRPr="00B96C81">
        <w:t xml:space="preserve">, waarvoor de rapporterende MFI als </w:t>
      </w:r>
      <w:proofErr w:type="spellStart"/>
      <w:r w:rsidRPr="00B96C81">
        <w:t>Servicer</w:t>
      </w:r>
      <w:proofErr w:type="spellEnd"/>
      <w:r w:rsidRPr="00B96C81">
        <w:t xml:space="preserve"> acteert, gerapporteerd te worden. </w:t>
      </w:r>
      <w:proofErr w:type="spellStart"/>
      <w:r w:rsidRPr="00B96C81">
        <w:rPr>
          <w:lang w:val="en-US"/>
        </w:rPr>
        <w:t>Zonder</w:t>
      </w:r>
      <w:proofErr w:type="spellEnd"/>
      <w:r w:rsidRPr="00B96C81">
        <w:rPr>
          <w:lang w:val="en-US"/>
        </w:rPr>
        <w:t xml:space="preserve"> effect op de MFI </w:t>
      </w:r>
      <w:proofErr w:type="spellStart"/>
      <w:r w:rsidRPr="00B96C81">
        <w:rPr>
          <w:lang w:val="en-US"/>
        </w:rPr>
        <w:t>balans</w:t>
      </w:r>
      <w:proofErr w:type="spellEnd"/>
      <w:r w:rsidRPr="00B96C81">
        <w:rPr>
          <w:lang w:val="en-US"/>
        </w:rPr>
        <w:t>.</w:t>
      </w:r>
    </w:p>
    <w:p w:rsidR="00840B48" w:rsidRPr="00B96C81" w:rsidRDefault="00253962" w:rsidP="008929E4">
      <w:pPr>
        <w:rPr>
          <w:lang w:val="en-US"/>
        </w:rPr>
      </w:pPr>
      <w:r w:rsidRPr="00B96C81">
        <w:rPr>
          <w:lang w:val="en-US"/>
        </w:rPr>
        <w:t xml:space="preserve"> </w:t>
      </w:r>
    </w:p>
    <w:p w:rsidR="00253962" w:rsidRPr="00B96C81" w:rsidRDefault="00253962" w:rsidP="00253962">
      <w:pPr>
        <w:rPr>
          <w:b/>
          <w:sz w:val="22"/>
          <w:szCs w:val="22"/>
          <w:lang w:val="en-US"/>
        </w:rPr>
      </w:pPr>
      <w:r w:rsidRPr="00B96C81">
        <w:rPr>
          <w:b/>
          <w:lang w:val="en-US"/>
        </w:rPr>
        <w:t xml:space="preserve">2.4 </w:t>
      </w:r>
      <w:proofErr w:type="spellStart"/>
      <w:r w:rsidRPr="00B96C81">
        <w:rPr>
          <w:b/>
          <w:lang w:val="en-US"/>
        </w:rPr>
        <w:t>Formulier</w:t>
      </w:r>
      <w:proofErr w:type="spellEnd"/>
      <w:r w:rsidRPr="00B96C81">
        <w:rPr>
          <w:b/>
          <w:lang w:val="en-US"/>
        </w:rPr>
        <w:t xml:space="preserve"> T9017HK1 - Write-downs and other price revaluations on outstanding amounts of </w:t>
      </w:r>
      <w:proofErr w:type="spellStart"/>
      <w:r w:rsidRPr="00B96C81">
        <w:rPr>
          <w:b/>
          <w:lang w:val="en-US"/>
        </w:rPr>
        <w:t>securitised</w:t>
      </w:r>
      <w:proofErr w:type="spellEnd"/>
      <w:r w:rsidRPr="00B96C81">
        <w:rPr>
          <w:b/>
          <w:lang w:val="en-US"/>
        </w:rPr>
        <w:t xml:space="preserve"> loans to FVC ('</w:t>
      </w:r>
      <w:proofErr w:type="spellStart"/>
      <w:r w:rsidRPr="00B96C81">
        <w:rPr>
          <w:b/>
          <w:lang w:val="en-US"/>
        </w:rPr>
        <w:t>derecognised</w:t>
      </w:r>
      <w:proofErr w:type="spellEnd"/>
      <w:r w:rsidRPr="00B96C81">
        <w:rPr>
          <w:b/>
          <w:lang w:val="en-US"/>
        </w:rPr>
        <w:t>') and serviced by reporting agent</w:t>
      </w:r>
    </w:p>
    <w:p w:rsidR="00253962" w:rsidRPr="00B96C81" w:rsidRDefault="00253962" w:rsidP="00253962">
      <w:pPr>
        <w:rPr>
          <w:lang w:val="en-US"/>
        </w:rPr>
      </w:pPr>
      <w:r w:rsidRPr="00B96C81">
        <w:t xml:space="preserve">Op formulier 9017HK1 moet aanvullende informatie over prijsherwaarderingen en overige mutaties over uitstaande bedragen van door Nederlandse </w:t>
      </w:r>
      <w:proofErr w:type="spellStart"/>
      <w:r w:rsidRPr="00B96C81">
        <w:t>MFI’s</w:t>
      </w:r>
      <w:proofErr w:type="spellEnd"/>
      <w:r w:rsidRPr="00B96C81">
        <w:t xml:space="preserve"> in </w:t>
      </w:r>
      <w:proofErr w:type="spellStart"/>
      <w:r w:rsidR="00586A68" w:rsidRPr="00B96C81">
        <w:t>gesecuritiseerde</w:t>
      </w:r>
      <w:proofErr w:type="spellEnd"/>
      <w:r w:rsidR="00586A68" w:rsidRPr="00B96C81">
        <w:t xml:space="preserve"> </w:t>
      </w:r>
      <w:r w:rsidRPr="00B96C81">
        <w:t xml:space="preserve">leningen bij </w:t>
      </w:r>
      <w:proofErr w:type="spellStart"/>
      <w:r w:rsidRPr="00B96C81">
        <w:t>FVC’s</w:t>
      </w:r>
      <w:proofErr w:type="spellEnd"/>
      <w:r w:rsidRPr="00B96C81">
        <w:t xml:space="preserve"> gerapporteerd worden. </w:t>
      </w:r>
      <w:r w:rsidRPr="00B96C81">
        <w:rPr>
          <w:lang w:val="en-US"/>
        </w:rPr>
        <w:t xml:space="preserve">Met effect op de MFI </w:t>
      </w:r>
      <w:proofErr w:type="spellStart"/>
      <w:r w:rsidRPr="00B96C81">
        <w:rPr>
          <w:lang w:val="en-US"/>
        </w:rPr>
        <w:t>balans</w:t>
      </w:r>
      <w:proofErr w:type="spellEnd"/>
      <w:r w:rsidRPr="00B96C81">
        <w:rPr>
          <w:lang w:val="en-US"/>
        </w:rPr>
        <w:t>.</w:t>
      </w:r>
    </w:p>
    <w:p w:rsidR="00B46AFC" w:rsidRPr="00B96C81" w:rsidRDefault="00B46AFC" w:rsidP="00253962">
      <w:pPr>
        <w:rPr>
          <w:b/>
          <w:lang w:val="en-US"/>
        </w:rPr>
      </w:pPr>
    </w:p>
    <w:p w:rsidR="00253962" w:rsidRPr="00B96C81" w:rsidRDefault="00253962" w:rsidP="00253962">
      <w:pPr>
        <w:rPr>
          <w:b/>
          <w:lang w:val="en-US"/>
        </w:rPr>
      </w:pPr>
      <w:r w:rsidRPr="00B96C81">
        <w:rPr>
          <w:b/>
          <w:lang w:val="en-US"/>
        </w:rPr>
        <w:t xml:space="preserve">2.5 Formulier T9017HK2 - Write-downs and other price revaluations on outstanding amounts of </w:t>
      </w:r>
      <w:proofErr w:type="spellStart"/>
      <w:r w:rsidRPr="00B96C81">
        <w:rPr>
          <w:b/>
          <w:lang w:val="en-US"/>
        </w:rPr>
        <w:t>securitised</w:t>
      </w:r>
      <w:proofErr w:type="spellEnd"/>
      <w:r w:rsidRPr="00B96C81">
        <w:rPr>
          <w:b/>
          <w:lang w:val="en-US"/>
        </w:rPr>
        <w:t xml:space="preserve"> loans not transferred to FVC ('not </w:t>
      </w:r>
      <w:proofErr w:type="spellStart"/>
      <w:r w:rsidRPr="00B96C81">
        <w:rPr>
          <w:b/>
          <w:lang w:val="en-US"/>
        </w:rPr>
        <w:t>derecognised</w:t>
      </w:r>
      <w:proofErr w:type="spellEnd"/>
      <w:r w:rsidRPr="00B96C81">
        <w:rPr>
          <w:b/>
          <w:lang w:val="en-US"/>
        </w:rPr>
        <w:t>')</w:t>
      </w:r>
    </w:p>
    <w:p w:rsidR="00B46AFC" w:rsidRPr="00B96C81" w:rsidRDefault="00B46AFC" w:rsidP="00253962">
      <w:pPr>
        <w:rPr>
          <w:sz w:val="22"/>
          <w:szCs w:val="22"/>
          <w:lang w:val="en-US"/>
        </w:rPr>
      </w:pPr>
      <w:r w:rsidRPr="00B96C81">
        <w:t>Op formulier 9017HK</w:t>
      </w:r>
      <w:r w:rsidR="00061F17" w:rsidRPr="00B96C81">
        <w:t>2</w:t>
      </w:r>
      <w:r w:rsidRPr="00B96C81">
        <w:t xml:space="preserve"> moet aanvullende informatie over prijsherwaarderingen en overige mutaties over uitstaande bedragen van door Nederlandse </w:t>
      </w:r>
      <w:proofErr w:type="spellStart"/>
      <w:r w:rsidRPr="00B96C81">
        <w:t>MFI’s</w:t>
      </w:r>
      <w:proofErr w:type="spellEnd"/>
      <w:r w:rsidRPr="00B96C81">
        <w:t xml:space="preserve"> beheerde leningen gerapporteerd worden. </w:t>
      </w:r>
      <w:proofErr w:type="spellStart"/>
      <w:r w:rsidRPr="00B96C81">
        <w:rPr>
          <w:lang w:val="en-US"/>
        </w:rPr>
        <w:t>Zonder</w:t>
      </w:r>
      <w:proofErr w:type="spellEnd"/>
      <w:r w:rsidRPr="00B96C81">
        <w:rPr>
          <w:lang w:val="en-US"/>
        </w:rPr>
        <w:t xml:space="preserve"> effect op de</w:t>
      </w:r>
      <w:r w:rsidR="00974B6E" w:rsidRPr="00B96C81">
        <w:rPr>
          <w:lang w:val="en-US"/>
        </w:rPr>
        <w:t xml:space="preserve"> MFI</w:t>
      </w:r>
      <w:r w:rsidRPr="00B96C81">
        <w:rPr>
          <w:lang w:val="en-US"/>
        </w:rPr>
        <w:t xml:space="preserve"> </w:t>
      </w:r>
      <w:proofErr w:type="spellStart"/>
      <w:r w:rsidRPr="00B96C81">
        <w:rPr>
          <w:lang w:val="en-US"/>
        </w:rPr>
        <w:t>balans</w:t>
      </w:r>
      <w:proofErr w:type="spellEnd"/>
      <w:r w:rsidRPr="00B96C81">
        <w:rPr>
          <w:lang w:val="en-US"/>
        </w:rPr>
        <w:t xml:space="preserve">. </w:t>
      </w:r>
    </w:p>
    <w:p w:rsidR="00253962" w:rsidRPr="00B96C81" w:rsidRDefault="00253962" w:rsidP="008929E4">
      <w:pPr>
        <w:rPr>
          <w:lang w:val="en-US"/>
        </w:rPr>
      </w:pPr>
    </w:p>
    <w:p w:rsidR="00B46AFC" w:rsidRPr="00B96C81" w:rsidRDefault="00B46AFC" w:rsidP="008929E4">
      <w:pPr>
        <w:rPr>
          <w:b/>
        </w:rPr>
      </w:pPr>
      <w:r w:rsidRPr="00B96C81">
        <w:rPr>
          <w:b/>
          <w:lang w:val="en-US"/>
        </w:rPr>
        <w:lastRenderedPageBreak/>
        <w:t xml:space="preserve">2.6 Formulier T9017HK3 - Write-downs and other price revaluations on outstanding amounts of loans transferred to non-FVCs. </w:t>
      </w:r>
      <w:proofErr w:type="spellStart"/>
      <w:r w:rsidRPr="00B96C81">
        <w:rPr>
          <w:b/>
        </w:rPr>
        <w:t>With</w:t>
      </w:r>
      <w:proofErr w:type="spellEnd"/>
      <w:r w:rsidRPr="00B96C81">
        <w:rPr>
          <w:b/>
        </w:rPr>
        <w:t xml:space="preserve"> impact on </w:t>
      </w:r>
      <w:proofErr w:type="spellStart"/>
      <w:r w:rsidRPr="00B96C81">
        <w:rPr>
          <w:b/>
        </w:rPr>
        <w:t>reported</w:t>
      </w:r>
      <w:proofErr w:type="spellEnd"/>
      <w:r w:rsidRPr="00B96C81">
        <w:rPr>
          <w:b/>
        </w:rPr>
        <w:t xml:space="preserve"> stock</w:t>
      </w:r>
    </w:p>
    <w:p w:rsidR="00B46AFC" w:rsidRPr="00B96C81" w:rsidRDefault="00B46AFC" w:rsidP="00B46AFC">
      <w:pPr>
        <w:rPr>
          <w:lang w:val="en-US"/>
        </w:rPr>
      </w:pPr>
      <w:r w:rsidRPr="00B96C81">
        <w:t>Op formulier 901</w:t>
      </w:r>
      <w:r w:rsidR="005B220D" w:rsidRPr="00B96C81">
        <w:t>7HK3</w:t>
      </w:r>
      <w:r w:rsidRPr="00B96C81">
        <w:t xml:space="preserve"> moet aanvullende informatie over prijsherwaarderingen en overige mutaties over uitstaande bedragen van door Nederlandse </w:t>
      </w:r>
      <w:proofErr w:type="spellStart"/>
      <w:r w:rsidRPr="00B96C81">
        <w:t>MFI’s</w:t>
      </w:r>
      <w:proofErr w:type="spellEnd"/>
      <w:r w:rsidRPr="00B96C81">
        <w:t xml:space="preserve"> in </w:t>
      </w:r>
      <w:r w:rsidR="00F623F4" w:rsidRPr="00B96C81">
        <w:t>overgedragen</w:t>
      </w:r>
      <w:r w:rsidRPr="00B96C81">
        <w:t xml:space="preserve"> leningen bij niet-</w:t>
      </w:r>
      <w:proofErr w:type="spellStart"/>
      <w:r w:rsidRPr="00B96C81">
        <w:t>FVC’s</w:t>
      </w:r>
      <w:proofErr w:type="spellEnd"/>
      <w:r w:rsidRPr="00B96C81">
        <w:t xml:space="preserve"> gerapporteerd worden. </w:t>
      </w:r>
      <w:r w:rsidRPr="00B96C81">
        <w:rPr>
          <w:lang w:val="en-US"/>
        </w:rPr>
        <w:t xml:space="preserve">Met effect op de MFI </w:t>
      </w:r>
      <w:proofErr w:type="spellStart"/>
      <w:r w:rsidRPr="00B96C81">
        <w:rPr>
          <w:lang w:val="en-US"/>
        </w:rPr>
        <w:t>balans</w:t>
      </w:r>
      <w:proofErr w:type="spellEnd"/>
      <w:r w:rsidRPr="00B96C81">
        <w:rPr>
          <w:lang w:val="en-US"/>
        </w:rPr>
        <w:t>.</w:t>
      </w:r>
    </w:p>
    <w:p w:rsidR="00B46AFC" w:rsidRPr="00B96C81" w:rsidRDefault="00B46AFC" w:rsidP="008929E4">
      <w:pPr>
        <w:rPr>
          <w:lang w:val="en-US"/>
        </w:rPr>
      </w:pPr>
    </w:p>
    <w:p w:rsidR="00B46AFC" w:rsidRPr="00B96C81" w:rsidRDefault="00B46AFC" w:rsidP="008929E4">
      <w:pPr>
        <w:rPr>
          <w:b/>
        </w:rPr>
      </w:pPr>
      <w:r w:rsidRPr="00B96C81">
        <w:rPr>
          <w:b/>
          <w:lang w:val="en-US"/>
        </w:rPr>
        <w:t xml:space="preserve">2.7 Formulier T9017HK4 - Write-downs and other price revaluations on outstanding amounts of loans transferred to non-FVCs. </w:t>
      </w:r>
      <w:r w:rsidRPr="00B96C81">
        <w:rPr>
          <w:b/>
        </w:rPr>
        <w:t xml:space="preserve">Without impact on </w:t>
      </w:r>
      <w:proofErr w:type="spellStart"/>
      <w:r w:rsidRPr="00B96C81">
        <w:rPr>
          <w:b/>
        </w:rPr>
        <w:t>reported</w:t>
      </w:r>
      <w:proofErr w:type="spellEnd"/>
      <w:r w:rsidRPr="00B96C81">
        <w:rPr>
          <w:b/>
        </w:rPr>
        <w:t xml:space="preserve"> stock</w:t>
      </w:r>
    </w:p>
    <w:p w:rsidR="005B220D" w:rsidRPr="00B96C81" w:rsidRDefault="005B220D" w:rsidP="005B220D">
      <w:r w:rsidRPr="00B96C81">
        <w:t xml:space="preserve">Op formulier 9017HK4 moet aanvullende informatie over prijsherwaarderingen en overige mutaties over uitstaande bedragen van door Nederlandse </w:t>
      </w:r>
      <w:proofErr w:type="spellStart"/>
      <w:r w:rsidRPr="00B96C81">
        <w:t>MFI’s</w:t>
      </w:r>
      <w:proofErr w:type="spellEnd"/>
      <w:r w:rsidRPr="00B96C81">
        <w:t xml:space="preserve"> in </w:t>
      </w:r>
      <w:r w:rsidR="00F623F4" w:rsidRPr="00B96C81">
        <w:t>overgedragen</w:t>
      </w:r>
      <w:r w:rsidRPr="00B96C81">
        <w:t xml:space="preserve"> leningen bij niet-</w:t>
      </w:r>
      <w:proofErr w:type="spellStart"/>
      <w:r w:rsidRPr="00B96C81">
        <w:t>FVC’s</w:t>
      </w:r>
      <w:proofErr w:type="spellEnd"/>
      <w:r w:rsidRPr="00B96C81">
        <w:t xml:space="preserve"> gerapporteerd worden. Zonder effect op de MFI balans.</w:t>
      </w:r>
    </w:p>
    <w:p w:rsidR="004D61DE" w:rsidRPr="00B96C81" w:rsidRDefault="004D61DE" w:rsidP="008929E4"/>
    <w:p w:rsidR="005B220D" w:rsidRPr="00B96C81" w:rsidRDefault="005B220D" w:rsidP="008929E4">
      <w:pPr>
        <w:rPr>
          <w:b/>
          <w:sz w:val="22"/>
          <w:szCs w:val="22"/>
        </w:rPr>
      </w:pPr>
      <w:r w:rsidRPr="00B96C81">
        <w:rPr>
          <w:b/>
          <w:sz w:val="22"/>
          <w:szCs w:val="22"/>
        </w:rPr>
        <w:t>3. Wijzigingen in validatieregels</w:t>
      </w:r>
    </w:p>
    <w:p w:rsidR="005B220D" w:rsidRPr="00B96C81" w:rsidRDefault="005B220D" w:rsidP="008929E4">
      <w:pPr>
        <w:rPr>
          <w:b/>
          <w:sz w:val="22"/>
          <w:szCs w:val="22"/>
        </w:rPr>
      </w:pPr>
    </w:p>
    <w:p w:rsidR="004E6A08" w:rsidRPr="00B96C81" w:rsidRDefault="004E6A08" w:rsidP="008929E4">
      <w:r w:rsidRPr="00B96C81">
        <w:t xml:space="preserve">De geüpdatete BSI taxonomie heeft een lijst van </w:t>
      </w:r>
      <w:r w:rsidR="0056770A" w:rsidRPr="00B96C81">
        <w:t xml:space="preserve">315 </w:t>
      </w:r>
      <w:r w:rsidRPr="00B96C81">
        <w:t>validatieregels</w:t>
      </w:r>
      <w:r w:rsidR="00434F9E" w:rsidRPr="00B96C81">
        <w:t xml:space="preserve"> (zie tabblad ‘</w:t>
      </w:r>
      <w:proofErr w:type="spellStart"/>
      <w:r w:rsidR="00434F9E" w:rsidRPr="00B96C81">
        <w:t>Assertions</w:t>
      </w:r>
      <w:proofErr w:type="spellEnd"/>
      <w:r w:rsidR="00434F9E" w:rsidRPr="00B96C81">
        <w:t>’)</w:t>
      </w:r>
      <w:r w:rsidRPr="00B96C81">
        <w:t xml:space="preserve">. </w:t>
      </w:r>
      <w:r w:rsidR="00434F9E" w:rsidRPr="00B96C81">
        <w:t>Voor de nieuwe</w:t>
      </w:r>
      <w:r w:rsidRPr="00B96C81">
        <w:t xml:space="preserve"> 9013 en 9017 formulieren </w:t>
      </w:r>
      <w:r w:rsidR="00434F9E" w:rsidRPr="00B96C81">
        <w:t>zijn</w:t>
      </w:r>
      <w:r w:rsidRPr="00B96C81">
        <w:t xml:space="preserve"> validatieregels toegevoegd in lijn met de bestaande 9013 serie. </w:t>
      </w:r>
      <w:r w:rsidR="00434F9E" w:rsidRPr="00B96C81">
        <w:t>Voor alle validatieregels geldt in principe dat deze niet-blokkerend zijn. Validatieregels worden door DNB echter wel meege</w:t>
      </w:r>
      <w:r w:rsidR="0083352F">
        <w:t xml:space="preserve">nomen in het </w:t>
      </w:r>
      <w:r w:rsidR="00F60B18">
        <w:t>beoordelingsproces en kunnen leiden tot vervolgvragen.</w:t>
      </w:r>
    </w:p>
    <w:p w:rsidR="00E532CC" w:rsidRPr="00B96C81" w:rsidRDefault="00E532CC" w:rsidP="008929E4"/>
    <w:p w:rsidR="00CA544F" w:rsidRPr="00B96C81" w:rsidRDefault="00CA544F" w:rsidP="00CA544F">
      <w:pPr>
        <w:rPr>
          <w:b/>
          <w:sz w:val="22"/>
          <w:szCs w:val="22"/>
        </w:rPr>
      </w:pPr>
      <w:r w:rsidRPr="00B96C81">
        <w:rPr>
          <w:b/>
          <w:sz w:val="22"/>
          <w:szCs w:val="22"/>
        </w:rPr>
        <w:t>4. Wijzigingen in de landenlijst</w:t>
      </w:r>
    </w:p>
    <w:p w:rsidR="00244223" w:rsidRPr="00B96C81" w:rsidRDefault="00244223" w:rsidP="00CA544F">
      <w:pPr>
        <w:rPr>
          <w:b/>
          <w:sz w:val="20"/>
          <w:szCs w:val="20"/>
        </w:rPr>
      </w:pPr>
    </w:p>
    <w:p w:rsidR="001D77CF" w:rsidRPr="00B96C81" w:rsidRDefault="00244223" w:rsidP="001D77CF">
      <w:pPr>
        <w:autoSpaceDE w:val="0"/>
        <w:autoSpaceDN w:val="0"/>
        <w:adjustRightInd w:val="0"/>
        <w:spacing w:line="240" w:lineRule="auto"/>
      </w:pPr>
      <w:r w:rsidRPr="00B96C81">
        <w:t>De landenlijst is te vinden in het tabblad ‘</w:t>
      </w:r>
      <w:proofErr w:type="spellStart"/>
      <w:r w:rsidRPr="00B96C81">
        <w:t>Hierarchies</w:t>
      </w:r>
      <w:proofErr w:type="spellEnd"/>
      <w:r w:rsidRPr="00B96C81">
        <w:t xml:space="preserve">’ van de </w:t>
      </w:r>
      <w:proofErr w:type="spellStart"/>
      <w:r w:rsidRPr="00B96C81">
        <w:t>Annotated</w:t>
      </w:r>
      <w:proofErr w:type="spellEnd"/>
      <w:r w:rsidRPr="00B96C81">
        <w:t xml:space="preserve"> Templates. In de landenlijst zijn enkele wijzigingen doorgevoerd. Zo zijn verschillende internationale organisaties toegevoegd (BIS, EBRD, ECB</w:t>
      </w:r>
      <w:r w:rsidR="0056770A" w:rsidRPr="00B96C81">
        <w:t>,</w:t>
      </w:r>
      <w:r w:rsidRPr="00B96C81">
        <w:t xml:space="preserve"> EFSF, IMF, OECD, UN, </w:t>
      </w:r>
      <w:proofErr w:type="spellStart"/>
      <w:r w:rsidRPr="00B96C81">
        <w:t>Wor</w:t>
      </w:r>
      <w:r w:rsidR="00AA5764" w:rsidRPr="00B96C81">
        <w:t>l</w:t>
      </w:r>
      <w:r w:rsidRPr="00B96C81">
        <w:t>dbank</w:t>
      </w:r>
      <w:proofErr w:type="spellEnd"/>
      <w:r w:rsidRPr="00B96C81">
        <w:t xml:space="preserve">, </w:t>
      </w:r>
      <w:proofErr w:type="spellStart"/>
      <w:r w:rsidRPr="00B96C81">
        <w:t>other</w:t>
      </w:r>
      <w:proofErr w:type="spellEnd"/>
      <w:r w:rsidRPr="00B96C81">
        <w:t xml:space="preserve"> </w:t>
      </w:r>
      <w:proofErr w:type="spellStart"/>
      <w:r w:rsidRPr="00B96C81">
        <w:t>regional</w:t>
      </w:r>
      <w:proofErr w:type="spellEnd"/>
      <w:r w:rsidRPr="00B96C81">
        <w:t xml:space="preserve"> </w:t>
      </w:r>
      <w:r w:rsidR="0035744A" w:rsidRPr="00B96C81">
        <w:t xml:space="preserve">and </w:t>
      </w:r>
      <w:proofErr w:type="spellStart"/>
      <w:r w:rsidR="0035744A" w:rsidRPr="00B96C81">
        <w:t>international</w:t>
      </w:r>
      <w:proofErr w:type="spellEnd"/>
      <w:r w:rsidR="0035744A" w:rsidRPr="00B96C81">
        <w:t xml:space="preserve"> </w:t>
      </w:r>
      <w:proofErr w:type="spellStart"/>
      <w:r w:rsidR="0035744A" w:rsidRPr="00B96C81">
        <w:t>organisations</w:t>
      </w:r>
      <w:proofErr w:type="spellEnd"/>
      <w:r w:rsidR="0035744A" w:rsidRPr="00B96C81">
        <w:t xml:space="preserve">) </w:t>
      </w:r>
      <w:r w:rsidRPr="00B96C81">
        <w:t>en zijn twe</w:t>
      </w:r>
      <w:r w:rsidR="0035744A" w:rsidRPr="00B96C81">
        <w:t xml:space="preserve">e verzamelbegrippen verwijderd (International </w:t>
      </w:r>
      <w:proofErr w:type="spellStart"/>
      <w:r w:rsidR="0035744A" w:rsidRPr="00B96C81">
        <w:t>organisations</w:t>
      </w:r>
      <w:proofErr w:type="spellEnd"/>
      <w:r w:rsidR="0035744A" w:rsidRPr="00B96C81">
        <w:t xml:space="preserve"> in European Union </w:t>
      </w:r>
      <w:proofErr w:type="spellStart"/>
      <w:r w:rsidR="0035744A" w:rsidRPr="00B96C81">
        <w:t>excluding</w:t>
      </w:r>
      <w:proofErr w:type="spellEnd"/>
      <w:r w:rsidR="0035744A" w:rsidRPr="00B96C81">
        <w:t xml:space="preserve"> ECB en International </w:t>
      </w:r>
      <w:proofErr w:type="spellStart"/>
      <w:r w:rsidR="0035744A" w:rsidRPr="00B96C81">
        <w:t>organisations</w:t>
      </w:r>
      <w:proofErr w:type="spellEnd"/>
      <w:r w:rsidR="0035744A" w:rsidRPr="00B96C81">
        <w:t xml:space="preserve"> </w:t>
      </w:r>
      <w:proofErr w:type="spellStart"/>
      <w:r w:rsidR="0035744A" w:rsidRPr="00B96C81">
        <w:t>excluding</w:t>
      </w:r>
      <w:proofErr w:type="spellEnd"/>
      <w:r w:rsidR="0035744A" w:rsidRPr="00B96C81">
        <w:t xml:space="preserve"> </w:t>
      </w:r>
      <w:proofErr w:type="spellStart"/>
      <w:r w:rsidR="0035744A" w:rsidRPr="00B96C81">
        <w:t>institutions</w:t>
      </w:r>
      <w:proofErr w:type="spellEnd"/>
      <w:r w:rsidR="0035744A" w:rsidRPr="00B96C81">
        <w:t xml:space="preserve"> in </w:t>
      </w:r>
      <w:proofErr w:type="spellStart"/>
      <w:r w:rsidR="0035744A" w:rsidRPr="00B96C81">
        <w:t>the</w:t>
      </w:r>
      <w:proofErr w:type="spellEnd"/>
      <w:r w:rsidR="0035744A" w:rsidRPr="00B96C81">
        <w:t xml:space="preserve"> European Union). </w:t>
      </w:r>
    </w:p>
    <w:p w:rsidR="0035744A" w:rsidRPr="00B96C81" w:rsidRDefault="0035744A" w:rsidP="001D77CF">
      <w:pPr>
        <w:autoSpaceDE w:val="0"/>
        <w:autoSpaceDN w:val="0"/>
        <w:adjustRightInd w:val="0"/>
        <w:spacing w:line="240" w:lineRule="auto"/>
      </w:pPr>
    </w:p>
    <w:p w:rsidR="004E6A08" w:rsidRPr="00B96C81" w:rsidRDefault="0035744A" w:rsidP="0035744A">
      <w:pPr>
        <w:autoSpaceDE w:val="0"/>
        <w:autoSpaceDN w:val="0"/>
        <w:adjustRightInd w:val="0"/>
        <w:spacing w:line="240" w:lineRule="auto"/>
      </w:pPr>
      <w:r w:rsidRPr="00B96C81">
        <w:t xml:space="preserve">Belangrijk </w:t>
      </w:r>
      <w:r w:rsidR="005967C7" w:rsidRPr="00B96C81">
        <w:t xml:space="preserve">bijvoorbeeld </w:t>
      </w:r>
      <w:r w:rsidRPr="00B96C81">
        <w:t>is</w:t>
      </w:r>
      <w:r w:rsidR="0056770A" w:rsidRPr="00B96C81">
        <w:t>,</w:t>
      </w:r>
      <w:r w:rsidRPr="00B96C81">
        <w:t xml:space="preserve"> dat u posities op de </w:t>
      </w:r>
      <w:r w:rsidR="005967C7" w:rsidRPr="00B96C81">
        <w:t xml:space="preserve">ECB dus </w:t>
      </w:r>
      <w:r w:rsidRPr="00B96C81">
        <w:t>niet meer op Duitsland rapporteert</w:t>
      </w:r>
      <w:r w:rsidR="005967C7" w:rsidRPr="00B96C81">
        <w:t xml:space="preserve"> vanaf deze versie,</w:t>
      </w:r>
      <w:r w:rsidRPr="00B96C81">
        <w:t xml:space="preserve"> maar op het ‘land’ ECB. In de nog te verschijnen update van </w:t>
      </w:r>
      <w:r w:rsidR="003257AD" w:rsidRPr="00B96C81">
        <w:t xml:space="preserve">het </w:t>
      </w:r>
      <w:r w:rsidRPr="00B96C81">
        <w:t xml:space="preserve">Manual zullen wij u meer </w:t>
      </w:r>
      <w:proofErr w:type="spellStart"/>
      <w:r w:rsidRPr="00B96C81">
        <w:t>guidance</w:t>
      </w:r>
      <w:proofErr w:type="spellEnd"/>
      <w:r w:rsidRPr="00B96C81">
        <w:t xml:space="preserve"> geven omtrent dit onderwerp. </w:t>
      </w:r>
    </w:p>
    <w:p w:rsidR="00D70D17" w:rsidRPr="00B96C81" w:rsidRDefault="00D70D17" w:rsidP="008929E4">
      <w:pPr>
        <w:sectPr w:rsidR="00D70D17" w:rsidRPr="00B96C81" w:rsidSect="005C0F2E">
          <w:headerReference w:type="default" r:id="rId8"/>
          <w:pgSz w:w="11906" w:h="16838"/>
          <w:pgMar w:top="3090" w:right="3175" w:bottom="1418" w:left="1474" w:header="142" w:footer="709" w:gutter="0"/>
          <w:cols w:space="708"/>
          <w:docGrid w:linePitch="360"/>
        </w:sectPr>
      </w:pPr>
    </w:p>
    <w:p w:rsidR="00D70D17" w:rsidRPr="00B96C81" w:rsidRDefault="00152AFC" w:rsidP="008929E4">
      <w:pPr>
        <w:rPr>
          <w:b/>
          <w:sz w:val="22"/>
          <w:szCs w:val="22"/>
        </w:rPr>
      </w:pPr>
      <w:r w:rsidRPr="00B96C81">
        <w:rPr>
          <w:b/>
          <w:sz w:val="22"/>
          <w:szCs w:val="22"/>
        </w:rPr>
        <w:lastRenderedPageBreak/>
        <w:t>Appendix</w:t>
      </w:r>
      <w:r w:rsidR="00D70D17" w:rsidRPr="00B96C81">
        <w:rPr>
          <w:b/>
          <w:sz w:val="22"/>
          <w:szCs w:val="22"/>
        </w:rPr>
        <w:t xml:space="preserve">. </w:t>
      </w:r>
      <w:r w:rsidR="002E3A43" w:rsidRPr="00B96C81">
        <w:rPr>
          <w:b/>
          <w:sz w:val="22"/>
          <w:szCs w:val="22"/>
        </w:rPr>
        <w:t>Nieuwe samenhang Tabel groep 5: TG9013</w:t>
      </w:r>
    </w:p>
    <w:tbl>
      <w:tblPr>
        <w:tblStyle w:val="TableGrid"/>
        <w:tblpPr w:leftFromText="141" w:rightFromText="141" w:vertAnchor="text" w:horzAnchor="margin" w:tblpY="298"/>
        <w:tblW w:w="14737" w:type="dxa"/>
        <w:tblLook w:val="04A0" w:firstRow="1" w:lastRow="0" w:firstColumn="1" w:lastColumn="0" w:noHBand="0" w:noVBand="1"/>
      </w:tblPr>
      <w:tblGrid>
        <w:gridCol w:w="6232"/>
        <w:gridCol w:w="2487"/>
        <w:gridCol w:w="1527"/>
        <w:gridCol w:w="1710"/>
        <w:gridCol w:w="2781"/>
      </w:tblGrid>
      <w:tr w:rsidR="00D70D17" w:rsidRPr="00B96C81" w:rsidTr="00BB759A">
        <w:trPr>
          <w:trHeight w:val="300"/>
        </w:trPr>
        <w:tc>
          <w:tcPr>
            <w:tcW w:w="6232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r w:rsidRPr="00B96C81">
              <w:t> </w:t>
            </w:r>
          </w:p>
        </w:tc>
        <w:tc>
          <w:tcPr>
            <w:tcW w:w="2487" w:type="dxa"/>
            <w:noWrap/>
            <w:hideMark/>
          </w:tcPr>
          <w:p w:rsidR="00D70D17" w:rsidRPr="00B96C81" w:rsidRDefault="00D70D17" w:rsidP="00D70D17">
            <w:pPr>
              <w:spacing w:line="276" w:lineRule="auto"/>
              <w:rPr>
                <w:b/>
                <w:bCs/>
              </w:rPr>
            </w:pPr>
            <w:r w:rsidRPr="00B96C81">
              <w:rPr>
                <w:b/>
                <w:bCs/>
              </w:rPr>
              <w:t>Interactie tussen de formulieren</w:t>
            </w:r>
          </w:p>
        </w:tc>
        <w:tc>
          <w:tcPr>
            <w:tcW w:w="1527" w:type="dxa"/>
            <w:noWrap/>
            <w:hideMark/>
          </w:tcPr>
          <w:p w:rsidR="00D70D17" w:rsidRPr="00B96C81" w:rsidRDefault="00D70D17" w:rsidP="00D70D17">
            <w:pPr>
              <w:spacing w:line="276" w:lineRule="auto"/>
              <w:rPr>
                <w:b/>
                <w:bCs/>
              </w:rPr>
            </w:pPr>
            <w:r w:rsidRPr="00B96C81">
              <w:rPr>
                <w:b/>
                <w:bCs/>
              </w:rPr>
              <w:t>Wel/geen impact MFI balans?</w:t>
            </w:r>
          </w:p>
        </w:tc>
        <w:tc>
          <w:tcPr>
            <w:tcW w:w="1710" w:type="dxa"/>
            <w:noWrap/>
            <w:hideMark/>
          </w:tcPr>
          <w:p w:rsidR="00D70D17" w:rsidRPr="00B96C81" w:rsidRDefault="00D70D17" w:rsidP="00D70D17">
            <w:pPr>
              <w:spacing w:line="276" w:lineRule="auto"/>
              <w:rPr>
                <w:b/>
                <w:bCs/>
                <w:lang w:val="en-US"/>
              </w:rPr>
            </w:pPr>
            <w:proofErr w:type="spellStart"/>
            <w:r w:rsidRPr="00B96C81">
              <w:rPr>
                <w:b/>
                <w:bCs/>
                <w:lang w:val="en-US"/>
              </w:rPr>
              <w:t>Securitisatie</w:t>
            </w:r>
            <w:proofErr w:type="spellEnd"/>
            <w:r w:rsidRPr="00B96C81">
              <w:rPr>
                <w:b/>
                <w:bCs/>
                <w:lang w:val="en-US"/>
              </w:rPr>
              <w:t xml:space="preserve"> of other loan transfer</w:t>
            </w:r>
          </w:p>
        </w:tc>
        <w:tc>
          <w:tcPr>
            <w:tcW w:w="2781" w:type="dxa"/>
            <w:noWrap/>
            <w:hideMark/>
          </w:tcPr>
          <w:p w:rsidR="00D70D17" w:rsidRPr="00B96C81" w:rsidRDefault="00D70D17" w:rsidP="00D70D17">
            <w:pPr>
              <w:spacing w:line="276" w:lineRule="auto"/>
              <w:rPr>
                <w:b/>
                <w:bCs/>
              </w:rPr>
            </w:pPr>
            <w:proofErr w:type="spellStart"/>
            <w:r w:rsidRPr="00B96C81">
              <w:rPr>
                <w:b/>
                <w:bCs/>
              </w:rPr>
              <w:t>Servicer</w:t>
            </w:r>
            <w:proofErr w:type="spellEnd"/>
            <w:r w:rsidRPr="00B96C81">
              <w:rPr>
                <w:b/>
                <w:bCs/>
              </w:rPr>
              <w:t>?</w:t>
            </w:r>
          </w:p>
        </w:tc>
      </w:tr>
      <w:tr w:rsidR="00D70D17" w:rsidRPr="00B96C81" w:rsidTr="00BB759A">
        <w:trPr>
          <w:trHeight w:val="300"/>
        </w:trPr>
        <w:tc>
          <w:tcPr>
            <w:tcW w:w="6232" w:type="dxa"/>
            <w:noWrap/>
            <w:hideMark/>
          </w:tcPr>
          <w:p w:rsidR="00D70D17" w:rsidRPr="00B96C81" w:rsidRDefault="00D70D17" w:rsidP="00D70D17">
            <w:pPr>
              <w:spacing w:line="276" w:lineRule="auto"/>
              <w:rPr>
                <w:lang w:val="en-US"/>
              </w:rPr>
            </w:pPr>
            <w:r w:rsidRPr="00B96C81">
              <w:rPr>
                <w:lang w:val="en-US"/>
              </w:rPr>
              <w:t xml:space="preserve">T9013HK1 - Gross flows (sold vs. repurchased) of </w:t>
            </w:r>
            <w:proofErr w:type="spellStart"/>
            <w:r w:rsidRPr="00B96C81">
              <w:rPr>
                <w:lang w:val="en-US"/>
              </w:rPr>
              <w:t>securitised</w:t>
            </w:r>
            <w:proofErr w:type="spellEnd"/>
            <w:r w:rsidRPr="00B96C81">
              <w:rPr>
                <w:lang w:val="en-US"/>
              </w:rPr>
              <w:t xml:space="preserve"> loans transferred to FVCs - Transactions with effect on reported position of loans in MFI balance sheet (‘</w:t>
            </w:r>
            <w:proofErr w:type="spellStart"/>
            <w:r w:rsidRPr="00B96C81">
              <w:rPr>
                <w:lang w:val="en-US"/>
              </w:rPr>
              <w:t>derecognised</w:t>
            </w:r>
            <w:proofErr w:type="spellEnd"/>
            <w:r w:rsidRPr="00B96C81">
              <w:rPr>
                <w:lang w:val="en-US"/>
              </w:rPr>
              <w:t>’)</w:t>
            </w:r>
          </w:p>
        </w:tc>
        <w:tc>
          <w:tcPr>
            <w:tcW w:w="2487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r w:rsidRPr="00B96C81">
              <w:t>Flow (9013HK1) - Stock (9013HK3)</w:t>
            </w:r>
          </w:p>
        </w:tc>
        <w:tc>
          <w:tcPr>
            <w:tcW w:w="1527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r w:rsidRPr="00B96C81">
              <w:t>impact</w:t>
            </w:r>
          </w:p>
        </w:tc>
        <w:tc>
          <w:tcPr>
            <w:tcW w:w="1710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proofErr w:type="spellStart"/>
            <w:r w:rsidRPr="00B96C81">
              <w:t>securitsatie</w:t>
            </w:r>
            <w:proofErr w:type="spellEnd"/>
          </w:p>
        </w:tc>
        <w:tc>
          <w:tcPr>
            <w:tcW w:w="2781" w:type="dxa"/>
            <w:noWrap/>
            <w:hideMark/>
          </w:tcPr>
          <w:p w:rsidR="00D70D17" w:rsidRPr="00B96C81" w:rsidRDefault="00D70D17" w:rsidP="00D70D17">
            <w:pPr>
              <w:spacing w:line="276" w:lineRule="auto"/>
              <w:rPr>
                <w:lang w:val="en-US"/>
              </w:rPr>
            </w:pPr>
            <w:r w:rsidRPr="00B96C81">
              <w:rPr>
                <w:lang w:val="en-US"/>
              </w:rPr>
              <w:t xml:space="preserve">Servicer / not servicer, </w:t>
            </w:r>
            <w:proofErr w:type="spellStart"/>
            <w:r w:rsidRPr="00B96C81">
              <w:rPr>
                <w:lang w:val="en-US"/>
              </w:rPr>
              <w:t>derec</w:t>
            </w:r>
            <w:proofErr w:type="spellEnd"/>
          </w:p>
        </w:tc>
      </w:tr>
      <w:tr w:rsidR="00D70D17" w:rsidRPr="00B96C81" w:rsidTr="00BB759A">
        <w:trPr>
          <w:trHeight w:val="300"/>
        </w:trPr>
        <w:tc>
          <w:tcPr>
            <w:tcW w:w="6232" w:type="dxa"/>
            <w:noWrap/>
            <w:hideMark/>
          </w:tcPr>
          <w:p w:rsidR="00D70D17" w:rsidRPr="00B96C81" w:rsidRDefault="00D70D17" w:rsidP="00D70D17">
            <w:pPr>
              <w:spacing w:line="276" w:lineRule="auto"/>
              <w:rPr>
                <w:lang w:val="en-US"/>
              </w:rPr>
            </w:pPr>
            <w:r w:rsidRPr="00B96C81">
              <w:rPr>
                <w:lang w:val="en-US"/>
              </w:rPr>
              <w:t xml:space="preserve">T9013HK2 - Net flows (sales less repurchases) of </w:t>
            </w:r>
            <w:proofErr w:type="spellStart"/>
            <w:r w:rsidRPr="00B96C81">
              <w:rPr>
                <w:lang w:val="en-US"/>
              </w:rPr>
              <w:t>securitised</w:t>
            </w:r>
            <w:proofErr w:type="spellEnd"/>
            <w:r w:rsidRPr="00B96C81">
              <w:rPr>
                <w:lang w:val="en-US"/>
              </w:rPr>
              <w:t xml:space="preserve"> loans to FVCs - Transactions without effect on reported position of loans in MFI balance sheet (‘not </w:t>
            </w:r>
            <w:proofErr w:type="spellStart"/>
            <w:r w:rsidRPr="00B96C81">
              <w:rPr>
                <w:lang w:val="en-US"/>
              </w:rPr>
              <w:t>derecognised</w:t>
            </w:r>
            <w:proofErr w:type="spellEnd"/>
            <w:r w:rsidRPr="00B96C81">
              <w:rPr>
                <w:lang w:val="en-US"/>
              </w:rPr>
              <w:t>’)</w:t>
            </w:r>
          </w:p>
        </w:tc>
        <w:tc>
          <w:tcPr>
            <w:tcW w:w="2487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r w:rsidRPr="00B96C81">
              <w:t>Flow (9013HK2) - Stock (9013HK4)</w:t>
            </w:r>
          </w:p>
        </w:tc>
        <w:tc>
          <w:tcPr>
            <w:tcW w:w="1527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r w:rsidRPr="00B96C81">
              <w:t>geen impact</w:t>
            </w:r>
          </w:p>
        </w:tc>
        <w:tc>
          <w:tcPr>
            <w:tcW w:w="1710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proofErr w:type="spellStart"/>
            <w:r w:rsidRPr="00B96C81">
              <w:t>securitsatie</w:t>
            </w:r>
            <w:proofErr w:type="spellEnd"/>
          </w:p>
        </w:tc>
        <w:tc>
          <w:tcPr>
            <w:tcW w:w="2781" w:type="dxa"/>
            <w:noWrap/>
            <w:hideMark/>
          </w:tcPr>
          <w:p w:rsidR="00D70D17" w:rsidRPr="00B96C81" w:rsidRDefault="00D70D17" w:rsidP="00D70D17">
            <w:pPr>
              <w:spacing w:line="276" w:lineRule="auto"/>
              <w:rPr>
                <w:lang w:val="en-US"/>
              </w:rPr>
            </w:pPr>
            <w:r w:rsidRPr="00B96C81">
              <w:rPr>
                <w:lang w:val="en-US"/>
              </w:rPr>
              <w:t xml:space="preserve">MFI is servicer, not </w:t>
            </w:r>
            <w:proofErr w:type="spellStart"/>
            <w:r w:rsidRPr="00B96C81">
              <w:rPr>
                <w:lang w:val="en-US"/>
              </w:rPr>
              <w:t>derec</w:t>
            </w:r>
            <w:proofErr w:type="spellEnd"/>
          </w:p>
        </w:tc>
      </w:tr>
      <w:tr w:rsidR="00D70D17" w:rsidRPr="00B96C81" w:rsidTr="00BB759A">
        <w:trPr>
          <w:trHeight w:val="300"/>
        </w:trPr>
        <w:tc>
          <w:tcPr>
            <w:tcW w:w="6232" w:type="dxa"/>
            <w:noWrap/>
            <w:hideMark/>
          </w:tcPr>
          <w:p w:rsidR="00D70D17" w:rsidRPr="00B96C81" w:rsidRDefault="00D70D17" w:rsidP="00D70D17">
            <w:pPr>
              <w:spacing w:line="276" w:lineRule="auto"/>
              <w:rPr>
                <w:lang w:val="en-US"/>
              </w:rPr>
            </w:pPr>
            <w:r w:rsidRPr="00B96C81">
              <w:rPr>
                <w:lang w:val="en-US"/>
              </w:rPr>
              <w:t xml:space="preserve">T9013HK3 - Outstanding amounts of </w:t>
            </w:r>
            <w:proofErr w:type="spellStart"/>
            <w:r w:rsidRPr="00B96C81">
              <w:rPr>
                <w:lang w:val="en-US"/>
              </w:rPr>
              <w:t>securitised</w:t>
            </w:r>
            <w:proofErr w:type="spellEnd"/>
            <w:r w:rsidRPr="00B96C81">
              <w:rPr>
                <w:lang w:val="en-US"/>
              </w:rPr>
              <w:t xml:space="preserve"> loans transferred to FVCs (‘</w:t>
            </w:r>
            <w:proofErr w:type="spellStart"/>
            <w:r w:rsidRPr="00B96C81">
              <w:rPr>
                <w:lang w:val="en-US"/>
              </w:rPr>
              <w:t>derecognised</w:t>
            </w:r>
            <w:proofErr w:type="spellEnd"/>
            <w:r w:rsidRPr="00B96C81">
              <w:rPr>
                <w:lang w:val="en-US"/>
              </w:rPr>
              <w:t>’) serviced by reporting agent</w:t>
            </w:r>
          </w:p>
        </w:tc>
        <w:tc>
          <w:tcPr>
            <w:tcW w:w="2487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r w:rsidRPr="00B96C81">
              <w:t>Stock (9013HK3) - Flow (9013HK1)</w:t>
            </w:r>
          </w:p>
        </w:tc>
        <w:tc>
          <w:tcPr>
            <w:tcW w:w="1527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r w:rsidRPr="00B96C81">
              <w:t>impact</w:t>
            </w:r>
          </w:p>
        </w:tc>
        <w:tc>
          <w:tcPr>
            <w:tcW w:w="1710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proofErr w:type="spellStart"/>
            <w:r w:rsidRPr="00B96C81">
              <w:t>securitsatie</w:t>
            </w:r>
            <w:proofErr w:type="spellEnd"/>
          </w:p>
        </w:tc>
        <w:tc>
          <w:tcPr>
            <w:tcW w:w="2781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r w:rsidRPr="00B96C81">
              <w:t xml:space="preserve">MFI is </w:t>
            </w:r>
            <w:proofErr w:type="spellStart"/>
            <w:r w:rsidRPr="00B96C81">
              <w:t>servicer</w:t>
            </w:r>
            <w:proofErr w:type="spellEnd"/>
            <w:r w:rsidRPr="00B96C81">
              <w:t xml:space="preserve">, </w:t>
            </w:r>
            <w:proofErr w:type="spellStart"/>
            <w:r w:rsidRPr="00B96C81">
              <w:t>derec</w:t>
            </w:r>
            <w:proofErr w:type="spellEnd"/>
          </w:p>
        </w:tc>
      </w:tr>
      <w:tr w:rsidR="00D70D17" w:rsidRPr="00B96C81" w:rsidTr="00BB759A">
        <w:trPr>
          <w:trHeight w:val="300"/>
        </w:trPr>
        <w:tc>
          <w:tcPr>
            <w:tcW w:w="6232" w:type="dxa"/>
            <w:noWrap/>
            <w:hideMark/>
          </w:tcPr>
          <w:p w:rsidR="00D70D17" w:rsidRPr="00B96C81" w:rsidRDefault="00D70D17" w:rsidP="00D70D17">
            <w:pPr>
              <w:spacing w:line="276" w:lineRule="auto"/>
              <w:rPr>
                <w:lang w:val="en-US"/>
              </w:rPr>
            </w:pPr>
            <w:r w:rsidRPr="00B96C81">
              <w:rPr>
                <w:lang w:val="en-US"/>
              </w:rPr>
              <w:t xml:space="preserve">T9013HK4 - Outstanding amounts of </w:t>
            </w:r>
            <w:proofErr w:type="spellStart"/>
            <w:r w:rsidRPr="00B96C81">
              <w:rPr>
                <w:lang w:val="en-US"/>
              </w:rPr>
              <w:t>securitised</w:t>
            </w:r>
            <w:proofErr w:type="spellEnd"/>
            <w:r w:rsidRPr="00B96C81">
              <w:rPr>
                <w:lang w:val="en-US"/>
              </w:rPr>
              <w:t xml:space="preserve"> loans not </w:t>
            </w:r>
            <w:proofErr w:type="spellStart"/>
            <w:r w:rsidRPr="00B96C81">
              <w:rPr>
                <w:lang w:val="en-US"/>
              </w:rPr>
              <w:t>tranferred</w:t>
            </w:r>
            <w:proofErr w:type="spellEnd"/>
            <w:r w:rsidRPr="00B96C81">
              <w:rPr>
                <w:lang w:val="en-US"/>
              </w:rPr>
              <w:t xml:space="preserve"> to FVCs ('not </w:t>
            </w:r>
            <w:proofErr w:type="spellStart"/>
            <w:r w:rsidRPr="00B96C81">
              <w:rPr>
                <w:lang w:val="en-US"/>
              </w:rPr>
              <w:t>derecognised</w:t>
            </w:r>
            <w:proofErr w:type="spellEnd"/>
            <w:r w:rsidRPr="00B96C81">
              <w:rPr>
                <w:lang w:val="en-US"/>
              </w:rPr>
              <w:t>')</w:t>
            </w:r>
          </w:p>
        </w:tc>
        <w:tc>
          <w:tcPr>
            <w:tcW w:w="2487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r w:rsidRPr="00B96C81">
              <w:t>Stock (9013HK4) - Flow (9013HK2)</w:t>
            </w:r>
          </w:p>
        </w:tc>
        <w:tc>
          <w:tcPr>
            <w:tcW w:w="1527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r w:rsidRPr="00B96C81">
              <w:t>geen impact</w:t>
            </w:r>
          </w:p>
        </w:tc>
        <w:tc>
          <w:tcPr>
            <w:tcW w:w="1710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proofErr w:type="spellStart"/>
            <w:r w:rsidRPr="00B96C81">
              <w:t>securitsatie</w:t>
            </w:r>
            <w:proofErr w:type="spellEnd"/>
          </w:p>
        </w:tc>
        <w:tc>
          <w:tcPr>
            <w:tcW w:w="2781" w:type="dxa"/>
            <w:noWrap/>
            <w:hideMark/>
          </w:tcPr>
          <w:p w:rsidR="00D70D17" w:rsidRPr="00B96C81" w:rsidRDefault="00D70D17" w:rsidP="00D70D17">
            <w:pPr>
              <w:spacing w:line="276" w:lineRule="auto"/>
              <w:rPr>
                <w:lang w:val="en-US"/>
              </w:rPr>
            </w:pPr>
            <w:r w:rsidRPr="00B96C81">
              <w:rPr>
                <w:lang w:val="en-US"/>
              </w:rPr>
              <w:t xml:space="preserve">MFI is servicer, not </w:t>
            </w:r>
            <w:proofErr w:type="spellStart"/>
            <w:r w:rsidRPr="00B96C81">
              <w:rPr>
                <w:lang w:val="en-US"/>
              </w:rPr>
              <w:t>derec</w:t>
            </w:r>
            <w:proofErr w:type="spellEnd"/>
          </w:p>
        </w:tc>
      </w:tr>
      <w:tr w:rsidR="00D70D17" w:rsidRPr="00B96C81" w:rsidTr="00BB759A">
        <w:trPr>
          <w:trHeight w:val="300"/>
        </w:trPr>
        <w:tc>
          <w:tcPr>
            <w:tcW w:w="6232" w:type="dxa"/>
            <w:noWrap/>
            <w:hideMark/>
          </w:tcPr>
          <w:p w:rsidR="00D70D17" w:rsidRPr="00B96C81" w:rsidRDefault="00D70D17" w:rsidP="00D70D17">
            <w:pPr>
              <w:spacing w:line="276" w:lineRule="auto"/>
              <w:rPr>
                <w:lang w:val="en-US"/>
              </w:rPr>
            </w:pPr>
            <w:r w:rsidRPr="00B96C81">
              <w:rPr>
                <w:lang w:val="en-US"/>
              </w:rPr>
              <w:t>T9013HK5 - Gross flows (sales/repurchases) of loans transferred to non-FVCs. With impact on reported stock</w:t>
            </w:r>
          </w:p>
        </w:tc>
        <w:tc>
          <w:tcPr>
            <w:tcW w:w="2487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r w:rsidRPr="00B96C81">
              <w:t>Flow (9013HK5) - Stock (9013HK6)</w:t>
            </w:r>
          </w:p>
        </w:tc>
        <w:tc>
          <w:tcPr>
            <w:tcW w:w="1527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r w:rsidRPr="00B96C81">
              <w:t>impact</w:t>
            </w:r>
          </w:p>
        </w:tc>
        <w:tc>
          <w:tcPr>
            <w:tcW w:w="1710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proofErr w:type="spellStart"/>
            <w:r w:rsidRPr="00B96C81">
              <w:t>other</w:t>
            </w:r>
            <w:proofErr w:type="spellEnd"/>
            <w:r w:rsidRPr="00B96C81">
              <w:t xml:space="preserve"> </w:t>
            </w:r>
            <w:proofErr w:type="spellStart"/>
            <w:r w:rsidRPr="00B96C81">
              <w:t>loan</w:t>
            </w:r>
            <w:proofErr w:type="spellEnd"/>
            <w:r w:rsidRPr="00B96C81">
              <w:t xml:space="preserve"> transfer</w:t>
            </w:r>
          </w:p>
        </w:tc>
        <w:tc>
          <w:tcPr>
            <w:tcW w:w="2781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proofErr w:type="spellStart"/>
            <w:r w:rsidRPr="00B96C81">
              <w:t>Servicer</w:t>
            </w:r>
            <w:proofErr w:type="spellEnd"/>
            <w:r w:rsidRPr="00B96C81">
              <w:t xml:space="preserve"> / </w:t>
            </w:r>
            <w:proofErr w:type="spellStart"/>
            <w:r w:rsidRPr="00B96C81">
              <w:t>not</w:t>
            </w:r>
            <w:proofErr w:type="spellEnd"/>
            <w:r w:rsidRPr="00B96C81">
              <w:t xml:space="preserve"> </w:t>
            </w:r>
            <w:proofErr w:type="spellStart"/>
            <w:r w:rsidRPr="00B96C81">
              <w:t>servicer</w:t>
            </w:r>
            <w:proofErr w:type="spellEnd"/>
            <w:r w:rsidRPr="00B96C81">
              <w:t xml:space="preserve">, </w:t>
            </w:r>
            <w:proofErr w:type="spellStart"/>
            <w:r w:rsidRPr="00B96C81">
              <w:t>derec</w:t>
            </w:r>
            <w:proofErr w:type="spellEnd"/>
          </w:p>
        </w:tc>
      </w:tr>
      <w:tr w:rsidR="00D70D17" w:rsidRPr="00B96C81" w:rsidTr="00BB759A">
        <w:trPr>
          <w:trHeight w:val="300"/>
        </w:trPr>
        <w:tc>
          <w:tcPr>
            <w:tcW w:w="6232" w:type="dxa"/>
            <w:noWrap/>
            <w:hideMark/>
          </w:tcPr>
          <w:p w:rsidR="00D70D17" w:rsidRPr="00B96C81" w:rsidRDefault="00D70D17" w:rsidP="00D70D17">
            <w:pPr>
              <w:spacing w:line="276" w:lineRule="auto"/>
              <w:rPr>
                <w:lang w:val="en-US"/>
              </w:rPr>
            </w:pPr>
            <w:r w:rsidRPr="00B96C81">
              <w:rPr>
                <w:lang w:val="en-US"/>
              </w:rPr>
              <w:t>T9013HK6 - Outstanding amount of loans transferred to non-FVCs and serviced by reporting agent. With impact on reported stock</w:t>
            </w:r>
          </w:p>
        </w:tc>
        <w:tc>
          <w:tcPr>
            <w:tcW w:w="2487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r w:rsidRPr="00B96C81">
              <w:t>Stock (9013HK6) - Flow (9013HK5)</w:t>
            </w:r>
          </w:p>
        </w:tc>
        <w:tc>
          <w:tcPr>
            <w:tcW w:w="1527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r w:rsidRPr="00B96C81">
              <w:t>impact</w:t>
            </w:r>
          </w:p>
        </w:tc>
        <w:tc>
          <w:tcPr>
            <w:tcW w:w="1710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proofErr w:type="spellStart"/>
            <w:r w:rsidRPr="00B96C81">
              <w:t>other</w:t>
            </w:r>
            <w:proofErr w:type="spellEnd"/>
            <w:r w:rsidRPr="00B96C81">
              <w:t xml:space="preserve"> </w:t>
            </w:r>
            <w:proofErr w:type="spellStart"/>
            <w:r w:rsidRPr="00B96C81">
              <w:t>loan</w:t>
            </w:r>
            <w:proofErr w:type="spellEnd"/>
            <w:r w:rsidRPr="00B96C81">
              <w:t xml:space="preserve"> transfer</w:t>
            </w:r>
          </w:p>
        </w:tc>
        <w:tc>
          <w:tcPr>
            <w:tcW w:w="2781" w:type="dxa"/>
            <w:noWrap/>
            <w:hideMark/>
          </w:tcPr>
          <w:p w:rsidR="00D70D17" w:rsidRPr="00B96C81" w:rsidRDefault="00D70D17" w:rsidP="00D70D17">
            <w:pPr>
              <w:spacing w:line="276" w:lineRule="auto"/>
              <w:rPr>
                <w:lang w:val="en-US"/>
              </w:rPr>
            </w:pPr>
            <w:r w:rsidRPr="00B96C81">
              <w:rPr>
                <w:lang w:val="en-US"/>
              </w:rPr>
              <w:t xml:space="preserve">MFI is servicer, </w:t>
            </w:r>
            <w:proofErr w:type="spellStart"/>
            <w:r w:rsidRPr="00B96C81">
              <w:rPr>
                <w:lang w:val="en-US"/>
              </w:rPr>
              <w:t>derec</w:t>
            </w:r>
            <w:proofErr w:type="spellEnd"/>
          </w:p>
        </w:tc>
      </w:tr>
      <w:tr w:rsidR="00D70D17" w:rsidRPr="00B96C81" w:rsidTr="00BB759A">
        <w:trPr>
          <w:trHeight w:val="300"/>
        </w:trPr>
        <w:tc>
          <w:tcPr>
            <w:tcW w:w="6232" w:type="dxa"/>
            <w:noWrap/>
            <w:hideMark/>
          </w:tcPr>
          <w:p w:rsidR="00D70D17" w:rsidRPr="00B96C81" w:rsidRDefault="00D70D17" w:rsidP="00D70D17">
            <w:pPr>
              <w:spacing w:line="276" w:lineRule="auto"/>
              <w:rPr>
                <w:lang w:val="en-US"/>
              </w:rPr>
            </w:pPr>
            <w:r w:rsidRPr="00B96C81">
              <w:rPr>
                <w:lang w:val="en-US"/>
              </w:rPr>
              <w:t>T9013HK7 - Net flows (sales less repurchases) of loans transferred to non-FVCs. Without impact on reported stock</w:t>
            </w:r>
          </w:p>
        </w:tc>
        <w:tc>
          <w:tcPr>
            <w:tcW w:w="2487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r w:rsidRPr="00B96C81">
              <w:t>Flow (9013HK7) - Stock (9013HK8)</w:t>
            </w:r>
          </w:p>
        </w:tc>
        <w:tc>
          <w:tcPr>
            <w:tcW w:w="1527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r w:rsidRPr="00B96C81">
              <w:t>geen impact</w:t>
            </w:r>
          </w:p>
        </w:tc>
        <w:tc>
          <w:tcPr>
            <w:tcW w:w="1710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proofErr w:type="spellStart"/>
            <w:r w:rsidRPr="00B96C81">
              <w:t>other</w:t>
            </w:r>
            <w:proofErr w:type="spellEnd"/>
            <w:r w:rsidRPr="00B96C81">
              <w:t xml:space="preserve"> </w:t>
            </w:r>
            <w:proofErr w:type="spellStart"/>
            <w:r w:rsidRPr="00B96C81">
              <w:t>loan</w:t>
            </w:r>
            <w:proofErr w:type="spellEnd"/>
            <w:r w:rsidRPr="00B96C81">
              <w:t xml:space="preserve"> transfer</w:t>
            </w:r>
          </w:p>
        </w:tc>
        <w:tc>
          <w:tcPr>
            <w:tcW w:w="2781" w:type="dxa"/>
            <w:noWrap/>
            <w:hideMark/>
          </w:tcPr>
          <w:p w:rsidR="00D70D17" w:rsidRPr="00B96C81" w:rsidRDefault="00D70D17" w:rsidP="00D70D17">
            <w:pPr>
              <w:spacing w:line="276" w:lineRule="auto"/>
              <w:rPr>
                <w:lang w:val="en-US"/>
              </w:rPr>
            </w:pPr>
            <w:r w:rsidRPr="00B96C81">
              <w:rPr>
                <w:lang w:val="en-US"/>
              </w:rPr>
              <w:t xml:space="preserve">MFI is servicer, not </w:t>
            </w:r>
            <w:proofErr w:type="spellStart"/>
            <w:r w:rsidRPr="00B96C81">
              <w:rPr>
                <w:lang w:val="en-US"/>
              </w:rPr>
              <w:t>derec</w:t>
            </w:r>
            <w:proofErr w:type="spellEnd"/>
          </w:p>
        </w:tc>
      </w:tr>
      <w:tr w:rsidR="00D70D17" w:rsidRPr="00B96C81" w:rsidTr="00BB759A">
        <w:trPr>
          <w:trHeight w:val="300"/>
        </w:trPr>
        <w:tc>
          <w:tcPr>
            <w:tcW w:w="6232" w:type="dxa"/>
            <w:noWrap/>
            <w:hideMark/>
          </w:tcPr>
          <w:p w:rsidR="00D70D17" w:rsidRPr="00B96C81" w:rsidRDefault="00D70D17" w:rsidP="00D70D17">
            <w:pPr>
              <w:spacing w:line="276" w:lineRule="auto"/>
              <w:rPr>
                <w:lang w:val="en-US"/>
              </w:rPr>
            </w:pPr>
            <w:r w:rsidRPr="00B96C81">
              <w:rPr>
                <w:lang w:val="en-US"/>
              </w:rPr>
              <w:t>T9013HK8 - Outstanding amount of loans transferred to non-FVCs and serviced by reporting agent. Without impact on reported stock</w:t>
            </w:r>
          </w:p>
        </w:tc>
        <w:tc>
          <w:tcPr>
            <w:tcW w:w="2487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r w:rsidRPr="00B96C81">
              <w:t>Stock (9013HK8) - Flow (9013HK7)</w:t>
            </w:r>
          </w:p>
        </w:tc>
        <w:tc>
          <w:tcPr>
            <w:tcW w:w="1527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r w:rsidRPr="00B96C81">
              <w:t>geen impact</w:t>
            </w:r>
          </w:p>
        </w:tc>
        <w:tc>
          <w:tcPr>
            <w:tcW w:w="1710" w:type="dxa"/>
            <w:noWrap/>
            <w:hideMark/>
          </w:tcPr>
          <w:p w:rsidR="00D70D17" w:rsidRPr="00B96C81" w:rsidRDefault="00D70D17" w:rsidP="00D70D17">
            <w:pPr>
              <w:spacing w:line="276" w:lineRule="auto"/>
            </w:pPr>
            <w:proofErr w:type="spellStart"/>
            <w:r w:rsidRPr="00B96C81">
              <w:t>other</w:t>
            </w:r>
            <w:proofErr w:type="spellEnd"/>
            <w:r w:rsidRPr="00B96C81">
              <w:t xml:space="preserve"> </w:t>
            </w:r>
            <w:proofErr w:type="spellStart"/>
            <w:r w:rsidRPr="00B96C81">
              <w:t>loan</w:t>
            </w:r>
            <w:proofErr w:type="spellEnd"/>
            <w:r w:rsidRPr="00B96C81">
              <w:t xml:space="preserve"> transfer</w:t>
            </w:r>
          </w:p>
        </w:tc>
        <w:tc>
          <w:tcPr>
            <w:tcW w:w="2781" w:type="dxa"/>
            <w:noWrap/>
            <w:hideMark/>
          </w:tcPr>
          <w:p w:rsidR="00D70D17" w:rsidRPr="00D70D17" w:rsidRDefault="00D70D17" w:rsidP="00D70D17">
            <w:pPr>
              <w:spacing w:line="276" w:lineRule="auto"/>
              <w:rPr>
                <w:lang w:val="en-US"/>
              </w:rPr>
            </w:pPr>
            <w:r w:rsidRPr="00B96C81">
              <w:rPr>
                <w:lang w:val="en-US"/>
              </w:rPr>
              <w:t xml:space="preserve">MFI is servicer, not </w:t>
            </w:r>
            <w:proofErr w:type="spellStart"/>
            <w:r w:rsidRPr="00B96C81">
              <w:rPr>
                <w:lang w:val="en-US"/>
              </w:rPr>
              <w:t>derec</w:t>
            </w:r>
            <w:proofErr w:type="spellEnd"/>
          </w:p>
        </w:tc>
      </w:tr>
    </w:tbl>
    <w:p w:rsidR="004E6A08" w:rsidRPr="00D70D17" w:rsidRDefault="004E6A08" w:rsidP="008929E4">
      <w:pPr>
        <w:rPr>
          <w:lang w:val="en-US"/>
        </w:rPr>
      </w:pPr>
    </w:p>
    <w:sectPr w:rsidR="004E6A08" w:rsidRPr="00D70D17" w:rsidSect="00D70D17">
      <w:pgSz w:w="16838" w:h="11906" w:orient="landscape"/>
      <w:pgMar w:top="1474" w:right="3090" w:bottom="3175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AB" w:rsidRDefault="00192AAB" w:rsidP="000A2A03">
      <w:pPr>
        <w:spacing w:line="240" w:lineRule="auto"/>
      </w:pPr>
      <w:r>
        <w:separator/>
      </w:r>
    </w:p>
  </w:endnote>
  <w:endnote w:type="continuationSeparator" w:id="0">
    <w:p w:rsidR="00192AAB" w:rsidRDefault="00192AAB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AB" w:rsidRDefault="00192AAB" w:rsidP="000A2A03">
      <w:pPr>
        <w:spacing w:line="240" w:lineRule="auto"/>
      </w:pPr>
      <w:r>
        <w:separator/>
      </w:r>
    </w:p>
  </w:footnote>
  <w:footnote w:type="continuationSeparator" w:id="0">
    <w:p w:rsidR="00192AAB" w:rsidRDefault="00192AAB" w:rsidP="000A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F2E" w:rsidRDefault="00363C16">
    <w:pPr>
      <w:pStyle w:val="Header"/>
    </w:pP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1752D8" wp14:editId="15D20036">
              <wp:simplePos x="0" y="0"/>
              <wp:positionH relativeFrom="page">
                <wp:posOffset>929005</wp:posOffset>
              </wp:positionH>
              <wp:positionV relativeFrom="page">
                <wp:posOffset>360045</wp:posOffset>
              </wp:positionV>
              <wp:extent cx="3532680" cy="97920"/>
              <wp:effectExtent l="0" t="0" r="1079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2680" cy="97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C16" w:rsidRPr="00F424B5" w:rsidRDefault="00363C16" w:rsidP="00363C16">
                          <w:pPr>
                            <w:pStyle w:val="DNBmark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752D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73.15pt;margin-top:28.35pt;width:278.15pt;height:7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" filled="f" stroked="f" strokeweight=".5pt">
              <v:textbox inset="0,0,0,0">
                <w:txbxContent>
                  <w:p w:rsidR="00363C16" w:rsidRPr="00F424B5" w:rsidRDefault="00363C16" w:rsidP="00363C16">
                    <w:pPr>
                      <w:pStyle w:val="DNBmarking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55924">
      <w:rPr>
        <w:noProof/>
        <w:lang w:eastAsia="nl-N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17" name="dnb_p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nb_public" descr="R:\Projecten\372_TID_DNB_DIRECT\Develop\png_classificatie\pos\DNB_cl1_public-po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18" name="dnb_un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b_unrestricted" descr="R:\Projecten\372_TID_DNB_DIRECT\Develop\png_classificatie\pos\DNB_cl2_unrestricted-pos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19" name="dnb_re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nb_restricted" descr="R:\Projecten\372_TID_DNB_DIRECT\Develop\png_classificatie\pos\DNB_cl3_restricted-pos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20" name="dnb_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nb_confidential" descr="R:\Projecten\372_TID_DNB_DIRECT\Develop\png_classificatie\pos\DNB_cl4_confidential-pos.pn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>
      <w:rPr>
        <w:noProof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6520"/>
          <wp:effectExtent l="0" t="0" r="0" b="0"/>
          <wp:wrapNone/>
          <wp:docPr id="21" name="dn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nb_secret" descr="R:\Projecten\372_TID_DNB_DIRECT\Develop\png_classificatie\pos\DNB_cl5_secret-pos.pn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2772"/>
    <w:multiLevelType w:val="hybridMultilevel"/>
    <w:tmpl w:val="7F1610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1C9C"/>
    <w:multiLevelType w:val="hybridMultilevel"/>
    <w:tmpl w:val="EE76D1FA"/>
    <w:lvl w:ilvl="0" w:tplc="5B10E968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3632"/>
    <w:multiLevelType w:val="hybridMultilevel"/>
    <w:tmpl w:val="E93888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8C7074"/>
    <w:multiLevelType w:val="hybridMultilevel"/>
    <w:tmpl w:val="1AB633C0"/>
    <w:lvl w:ilvl="0" w:tplc="A4FAA1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B520D"/>
    <w:multiLevelType w:val="hybridMultilevel"/>
    <w:tmpl w:val="51440B3C"/>
    <w:lvl w:ilvl="0" w:tplc="D58A8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43035B"/>
    <w:multiLevelType w:val="multilevel"/>
    <w:tmpl w:val="EB4E9C68"/>
    <w:lvl w:ilvl="0">
      <w:start w:val="1"/>
      <w:numFmt w:val="decimal"/>
      <w:pStyle w:val="Heading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8AB2C37"/>
    <w:multiLevelType w:val="hybridMultilevel"/>
    <w:tmpl w:val="BFEE7F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5781B"/>
    <w:multiLevelType w:val="multilevel"/>
    <w:tmpl w:val="1208091E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48651CA7"/>
    <w:multiLevelType w:val="multilevel"/>
    <w:tmpl w:val="E272F176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556952D9"/>
    <w:multiLevelType w:val="hybridMultilevel"/>
    <w:tmpl w:val="67AA6E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73215"/>
    <w:multiLevelType w:val="hybridMultilevel"/>
    <w:tmpl w:val="6C8830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A6E5F"/>
    <w:multiLevelType w:val="multilevel"/>
    <w:tmpl w:val="0BD8D550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43"/>
    <w:rsid w:val="00061F17"/>
    <w:rsid w:val="00064BD2"/>
    <w:rsid w:val="00067511"/>
    <w:rsid w:val="0006782F"/>
    <w:rsid w:val="00072501"/>
    <w:rsid w:val="00096939"/>
    <w:rsid w:val="000A2A03"/>
    <w:rsid w:val="000D36F9"/>
    <w:rsid w:val="000E543C"/>
    <w:rsid w:val="000E7968"/>
    <w:rsid w:val="00102AE8"/>
    <w:rsid w:val="001148A6"/>
    <w:rsid w:val="00152AFC"/>
    <w:rsid w:val="001544FF"/>
    <w:rsid w:val="0017184B"/>
    <w:rsid w:val="00192AAB"/>
    <w:rsid w:val="001B6FB1"/>
    <w:rsid w:val="001D77CF"/>
    <w:rsid w:val="00215B8E"/>
    <w:rsid w:val="00223548"/>
    <w:rsid w:val="00231327"/>
    <w:rsid w:val="00244223"/>
    <w:rsid w:val="00252D2E"/>
    <w:rsid w:val="00253962"/>
    <w:rsid w:val="00254C72"/>
    <w:rsid w:val="00276CD5"/>
    <w:rsid w:val="00282E10"/>
    <w:rsid w:val="0028552B"/>
    <w:rsid w:val="002A76D0"/>
    <w:rsid w:val="002E34E8"/>
    <w:rsid w:val="002E3A43"/>
    <w:rsid w:val="003252FB"/>
    <w:rsid w:val="003257AD"/>
    <w:rsid w:val="0033302C"/>
    <w:rsid w:val="0035744A"/>
    <w:rsid w:val="00363C16"/>
    <w:rsid w:val="003A7A21"/>
    <w:rsid w:val="003C4D61"/>
    <w:rsid w:val="003F6E85"/>
    <w:rsid w:val="00434F9E"/>
    <w:rsid w:val="0044392D"/>
    <w:rsid w:val="00453D32"/>
    <w:rsid w:val="00490378"/>
    <w:rsid w:val="004B0639"/>
    <w:rsid w:val="004D61DE"/>
    <w:rsid w:val="004E4835"/>
    <w:rsid w:val="004E6A08"/>
    <w:rsid w:val="004F2E60"/>
    <w:rsid w:val="004F785D"/>
    <w:rsid w:val="00507D8D"/>
    <w:rsid w:val="00511343"/>
    <w:rsid w:val="0051444B"/>
    <w:rsid w:val="00534380"/>
    <w:rsid w:val="00535054"/>
    <w:rsid w:val="00537346"/>
    <w:rsid w:val="00555924"/>
    <w:rsid w:val="00556BF1"/>
    <w:rsid w:val="0056770A"/>
    <w:rsid w:val="00586A68"/>
    <w:rsid w:val="005902AE"/>
    <w:rsid w:val="005967C7"/>
    <w:rsid w:val="005A4644"/>
    <w:rsid w:val="005B220D"/>
    <w:rsid w:val="005C0F2E"/>
    <w:rsid w:val="00624786"/>
    <w:rsid w:val="00625831"/>
    <w:rsid w:val="00664F02"/>
    <w:rsid w:val="0067327C"/>
    <w:rsid w:val="006D69A1"/>
    <w:rsid w:val="007513D3"/>
    <w:rsid w:val="00774CD1"/>
    <w:rsid w:val="00777F98"/>
    <w:rsid w:val="007B659D"/>
    <w:rsid w:val="007C4D4A"/>
    <w:rsid w:val="00822ADE"/>
    <w:rsid w:val="008273CF"/>
    <w:rsid w:val="0083352F"/>
    <w:rsid w:val="00840B48"/>
    <w:rsid w:val="008929E4"/>
    <w:rsid w:val="009147BF"/>
    <w:rsid w:val="0094396C"/>
    <w:rsid w:val="00974B6E"/>
    <w:rsid w:val="009B45A6"/>
    <w:rsid w:val="009B4C9A"/>
    <w:rsid w:val="009B5D9A"/>
    <w:rsid w:val="009E0917"/>
    <w:rsid w:val="009E3D1F"/>
    <w:rsid w:val="00A14848"/>
    <w:rsid w:val="00A2725B"/>
    <w:rsid w:val="00A358A7"/>
    <w:rsid w:val="00A36C08"/>
    <w:rsid w:val="00A434A5"/>
    <w:rsid w:val="00A43539"/>
    <w:rsid w:val="00A60B2F"/>
    <w:rsid w:val="00A72B58"/>
    <w:rsid w:val="00AA5764"/>
    <w:rsid w:val="00AE4836"/>
    <w:rsid w:val="00B224FD"/>
    <w:rsid w:val="00B46AFC"/>
    <w:rsid w:val="00B815FC"/>
    <w:rsid w:val="00B96C81"/>
    <w:rsid w:val="00C071BA"/>
    <w:rsid w:val="00C31C05"/>
    <w:rsid w:val="00C45EEC"/>
    <w:rsid w:val="00C47858"/>
    <w:rsid w:val="00C82654"/>
    <w:rsid w:val="00C91BB5"/>
    <w:rsid w:val="00C93A75"/>
    <w:rsid w:val="00CA45F8"/>
    <w:rsid w:val="00CA544F"/>
    <w:rsid w:val="00CB21DA"/>
    <w:rsid w:val="00CD4190"/>
    <w:rsid w:val="00D23767"/>
    <w:rsid w:val="00D27A58"/>
    <w:rsid w:val="00D448F8"/>
    <w:rsid w:val="00D6675A"/>
    <w:rsid w:val="00D70D17"/>
    <w:rsid w:val="00D92401"/>
    <w:rsid w:val="00DD0AEC"/>
    <w:rsid w:val="00DF6A64"/>
    <w:rsid w:val="00E05E36"/>
    <w:rsid w:val="00E4559B"/>
    <w:rsid w:val="00E532CC"/>
    <w:rsid w:val="00E7266F"/>
    <w:rsid w:val="00E81517"/>
    <w:rsid w:val="00E87FEF"/>
    <w:rsid w:val="00EA7370"/>
    <w:rsid w:val="00EB30A2"/>
    <w:rsid w:val="00ED1905"/>
    <w:rsid w:val="00EE238F"/>
    <w:rsid w:val="00F17945"/>
    <w:rsid w:val="00F26D30"/>
    <w:rsid w:val="00F535F8"/>
    <w:rsid w:val="00F60B18"/>
    <w:rsid w:val="00F623F4"/>
    <w:rsid w:val="00F6785E"/>
    <w:rsid w:val="00F7040F"/>
    <w:rsid w:val="00F720ED"/>
    <w:rsid w:val="00F90D70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4F8B696-A941-40F1-B837-6E80CC4E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539"/>
    <w:pPr>
      <w:spacing w:after="0"/>
    </w:pPr>
  </w:style>
  <w:style w:type="paragraph" w:styleId="Heading1">
    <w:name w:val="heading 1"/>
    <w:basedOn w:val="Normal"/>
    <w:next w:val="Normal"/>
    <w:link w:val="Heading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D9A"/>
    <w:rPr>
      <w:rFonts w:ascii="Verdana" w:hAnsi="Verdana"/>
      <w:sz w:val="17"/>
    </w:rPr>
  </w:style>
  <w:style w:type="paragraph" w:styleId="Footer">
    <w:name w:val="footer"/>
    <w:basedOn w:val="Normal"/>
    <w:link w:val="Footer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Normal"/>
    <w:next w:val="Normal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Normal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DefaultParagraphFont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Normal"/>
    <w:uiPriority w:val="1"/>
    <w:qFormat/>
    <w:rsid w:val="00490378"/>
    <w:pPr>
      <w:numPr>
        <w:ilvl w:val="1"/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9147B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9147BF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9147B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semiHidden/>
    <w:rsid w:val="009147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leReference">
    <w:name w:val="Subtle Reference"/>
    <w:basedOn w:val="DefaultParagraphFont"/>
    <w:uiPriority w:val="31"/>
    <w:semiHidden/>
    <w:rsid w:val="009147B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9147B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semiHidden/>
    <w:rsid w:val="009147BF"/>
    <w:pPr>
      <w:ind w:left="720"/>
      <w:contextualSpacing/>
    </w:pPr>
  </w:style>
  <w:style w:type="paragraph" w:styleId="NoSpacing">
    <w:name w:val="No Spacing"/>
    <w:uiPriority w:val="1"/>
    <w:semiHidden/>
    <w:rsid w:val="004F785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TOC1">
    <w:name w:val="toc 1"/>
    <w:basedOn w:val="Normal"/>
    <w:next w:val="Normal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TOC3">
    <w:name w:val="toc 3"/>
    <w:basedOn w:val="Normal"/>
    <w:next w:val="Normal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DefaultParagraphFont"/>
    <w:uiPriority w:val="99"/>
    <w:unhideWhenUsed/>
    <w:rsid w:val="00C071B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4848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Normal"/>
    <w:next w:val="Normal"/>
    <w:uiPriority w:val="1"/>
    <w:qFormat/>
    <w:rsid w:val="00A14848"/>
    <w:pPr>
      <w:spacing w:line="170" w:lineRule="atLeast"/>
    </w:pPr>
    <w:rPr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NBmarking">
    <w:name w:val="DNBmarking"/>
    <w:basedOn w:val="Normal"/>
    <w:qFormat/>
    <w:rsid w:val="00363C16"/>
    <w:pPr>
      <w:spacing w:line="240" w:lineRule="auto"/>
    </w:pPr>
    <w:rPr>
      <w:rFonts w:asciiTheme="minorHAnsi" w:hAnsiTheme="minorHAnsi"/>
      <w:color w:val="ADADAD"/>
      <w:sz w:val="12"/>
      <w:szCs w:val="12"/>
    </w:rPr>
  </w:style>
  <w:style w:type="paragraph" w:customStyle="1" w:styleId="Default">
    <w:name w:val="Default"/>
    <w:rsid w:val="00511343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8E699-4A31-4DB4-915E-73D3945C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2167</Words>
  <Characters>11920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 Nederlandsche Bank N.V.</Company>
  <LinksUpToDate>false</LinksUpToDate>
  <CharactersWithSpaces>14059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Welling, P.M. (Pim) (STAT_MBS)</dc:creator>
  <cp:keywords/>
  <dc:description/>
  <cp:lastModifiedBy>Klein Teeselink, H.J.R. (Henk) (STAT_MBS)</cp:lastModifiedBy>
  <cp:revision>14</cp:revision>
  <cp:lastPrinted>2020-10-21T13:30:00Z</cp:lastPrinted>
  <dcterms:created xsi:type="dcterms:W3CDTF">2020-10-26T10:11:00Z</dcterms:created>
  <dcterms:modified xsi:type="dcterms:W3CDTF">2020-10-27T08:50:00Z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b_marking">
    <vt:lpwstr> </vt:lpwstr>
  </property>
  <property fmtid="{D5CDD505-2E9C-101B-9397-08002B2CF9AE}" pid="3" name="DNB-SecurityLevel">
    <vt:lpwstr>1;#DNB-PUBLIC|6586d48a-5a89-4714-9622-7fec6f978734</vt:lpwstr>
  </property>
</Properties>
</file>