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AA566" w14:textId="31850659" w:rsidR="004F3D07" w:rsidRDefault="004F3D07" w:rsidP="00F90D70">
      <w:bookmarkStart w:id="0" w:name="_GoBack"/>
      <w:bookmarkEnd w:id="0"/>
      <w:r>
        <w:t>Bijlage bij aanvraag O</w:t>
      </w:r>
      <w:r w:rsidRPr="004F3D07">
        <w:t>ndernemingsspecifieke parameters (USP’s)</w:t>
      </w:r>
      <w:r>
        <w:t xml:space="preserve"> in Digitaal Loket Toezicht (DLT)</w:t>
      </w:r>
    </w:p>
    <w:p w14:paraId="7DCD9BF7" w14:textId="77777777" w:rsidR="004F3D07" w:rsidRDefault="004F3D07" w:rsidP="00F90D70"/>
    <w:p w14:paraId="1FD3AAC3" w14:textId="77777777" w:rsidR="004F3D07" w:rsidRDefault="004F3D07" w:rsidP="00F90D70"/>
    <w:p w14:paraId="650EC943" w14:textId="53E553FB" w:rsidR="00801742" w:rsidRPr="00711BF6" w:rsidRDefault="00EA2CBC" w:rsidP="00F90D70">
      <w:r w:rsidRPr="00711BF6">
        <w:t xml:space="preserve">Tabel 1: </w:t>
      </w:r>
      <w:r w:rsidR="00711BF6">
        <w:t>Algemene g</w:t>
      </w:r>
      <w:r w:rsidRPr="00711BF6">
        <w:t>egev</w:t>
      </w:r>
      <w:r w:rsidR="00711BF6" w:rsidRPr="00711BF6">
        <w:t xml:space="preserve">ens van de ondernemingen waarop de aanvraag van de </w:t>
      </w:r>
      <w:r w:rsidR="00AE2FC9">
        <w:t>ondernemingsspecifieke parameters (</w:t>
      </w:r>
      <w:r w:rsidR="00711BF6" w:rsidRPr="00711BF6">
        <w:t>USP’s</w:t>
      </w:r>
      <w:r w:rsidR="00AE2FC9">
        <w:t>)</w:t>
      </w:r>
      <w:r w:rsidR="00A31A9F">
        <w:t xml:space="preserve"> betrekking heeft</w:t>
      </w:r>
      <w:r w:rsidR="00711BF6" w:rsidRPr="00711BF6">
        <w:t>.</w:t>
      </w:r>
    </w:p>
    <w:p w14:paraId="034BFC24" w14:textId="77777777" w:rsidR="00801742" w:rsidRPr="004F3D07" w:rsidRDefault="00801742" w:rsidP="00F90D70"/>
    <w:tbl>
      <w:tblPr>
        <w:tblStyle w:val="Tabelraster"/>
        <w:tblpPr w:leftFromText="141" w:rightFromText="141" w:vertAnchor="page" w:horzAnchor="margin" w:tblpY="1966"/>
        <w:tblW w:w="14000" w:type="dxa"/>
        <w:tblLook w:val="04A0" w:firstRow="1" w:lastRow="0" w:firstColumn="1" w:lastColumn="0" w:noHBand="0" w:noVBand="1"/>
      </w:tblPr>
      <w:tblGrid>
        <w:gridCol w:w="1101"/>
        <w:gridCol w:w="12899"/>
      </w:tblGrid>
      <w:tr w:rsidR="00DC2151" w14:paraId="527E3E55" w14:textId="77777777" w:rsidTr="004F3D07">
        <w:tc>
          <w:tcPr>
            <w:tcW w:w="14000" w:type="dxa"/>
            <w:gridSpan w:val="2"/>
            <w:shd w:val="clear" w:color="auto" w:fill="D9D9D9" w:themeFill="background1" w:themeFillShade="D9"/>
          </w:tcPr>
          <w:p w14:paraId="15149AAB" w14:textId="77777777" w:rsidR="00DC2151" w:rsidRPr="008D1B3F" w:rsidRDefault="00711BF6" w:rsidP="004F3D07">
            <w:pPr>
              <w:rPr>
                <w:b/>
              </w:rPr>
            </w:pPr>
            <w:r w:rsidRPr="008D1B3F">
              <w:rPr>
                <w:b/>
              </w:rPr>
              <w:t>Algemene gegevens</w:t>
            </w:r>
          </w:p>
        </w:tc>
      </w:tr>
      <w:tr w:rsidR="00DC2151" w14:paraId="20A5B85B" w14:textId="77777777" w:rsidTr="004F3D07">
        <w:tc>
          <w:tcPr>
            <w:tcW w:w="1101" w:type="dxa"/>
            <w:shd w:val="clear" w:color="auto" w:fill="FFFFFF" w:themeFill="background1"/>
          </w:tcPr>
          <w:p w14:paraId="502A13CD" w14:textId="77777777" w:rsidR="00DC2151" w:rsidRDefault="00DC2151" w:rsidP="004F3D07">
            <w:r>
              <w:t>1</w:t>
            </w:r>
          </w:p>
        </w:tc>
        <w:tc>
          <w:tcPr>
            <w:tcW w:w="12899" w:type="dxa"/>
            <w:shd w:val="clear" w:color="auto" w:fill="FFFFFF" w:themeFill="background1"/>
          </w:tcPr>
          <w:p w14:paraId="79467FE7" w14:textId="77777777" w:rsidR="00F90868" w:rsidRDefault="00711BF6" w:rsidP="004F3D07">
            <w:r>
              <w:t>Statutaire naam en relatienummer van de onderneming (groep of solo) die de aanvraag indient.</w:t>
            </w:r>
          </w:p>
        </w:tc>
      </w:tr>
      <w:tr w:rsidR="00AE2FC9" w14:paraId="22856BC0" w14:textId="77777777" w:rsidTr="004F3D07">
        <w:tc>
          <w:tcPr>
            <w:tcW w:w="14000" w:type="dxa"/>
            <w:gridSpan w:val="2"/>
            <w:shd w:val="clear" w:color="auto" w:fill="FFFFFF" w:themeFill="background1"/>
          </w:tcPr>
          <w:p w14:paraId="109E4338" w14:textId="77777777" w:rsidR="00AE2FC9" w:rsidRDefault="00985580" w:rsidP="004F3D07">
            <w:r>
              <w:t>…………………</w:t>
            </w:r>
          </w:p>
        </w:tc>
      </w:tr>
      <w:tr w:rsidR="00DC2151" w14:paraId="69399D63" w14:textId="77777777" w:rsidTr="004F3D07">
        <w:tc>
          <w:tcPr>
            <w:tcW w:w="1101" w:type="dxa"/>
            <w:shd w:val="clear" w:color="auto" w:fill="FFFFFF" w:themeFill="background1"/>
          </w:tcPr>
          <w:p w14:paraId="73836543" w14:textId="77777777" w:rsidR="00DC2151" w:rsidRDefault="00DC2151" w:rsidP="004F3D07">
            <w:r>
              <w:t>2</w:t>
            </w:r>
          </w:p>
        </w:tc>
        <w:tc>
          <w:tcPr>
            <w:tcW w:w="12899" w:type="dxa"/>
            <w:shd w:val="clear" w:color="auto" w:fill="FFFFFF" w:themeFill="background1"/>
          </w:tcPr>
          <w:p w14:paraId="12D0A43E" w14:textId="77777777" w:rsidR="00DC2151" w:rsidRDefault="00711BF6" w:rsidP="004F3D07">
            <w:r>
              <w:t>Statutaire naam en relatienummer van iedere onderneming waarop de aanvraag voor een soloberekening van de USP</w:t>
            </w:r>
            <w:r w:rsidR="00B621FB">
              <w:t>’s</w:t>
            </w:r>
            <w:r>
              <w:t xml:space="preserve"> betrekking heeft.</w:t>
            </w:r>
          </w:p>
        </w:tc>
      </w:tr>
      <w:tr w:rsidR="00AE2FC9" w:rsidRPr="007C5373" w14:paraId="5CA10E41" w14:textId="77777777" w:rsidTr="004F3D07">
        <w:tc>
          <w:tcPr>
            <w:tcW w:w="14000" w:type="dxa"/>
            <w:gridSpan w:val="2"/>
            <w:shd w:val="clear" w:color="auto" w:fill="FFFFFF" w:themeFill="background1"/>
          </w:tcPr>
          <w:p w14:paraId="6257C803" w14:textId="77777777" w:rsidR="00AE2FC9" w:rsidRDefault="00985580" w:rsidP="004F3D07">
            <w:r>
              <w:t>…………………</w:t>
            </w:r>
          </w:p>
        </w:tc>
      </w:tr>
      <w:tr w:rsidR="00DC2151" w:rsidRPr="007C5373" w14:paraId="4797D8C9" w14:textId="77777777" w:rsidTr="004F3D07">
        <w:tc>
          <w:tcPr>
            <w:tcW w:w="1101" w:type="dxa"/>
            <w:shd w:val="clear" w:color="auto" w:fill="FFFFFF" w:themeFill="background1"/>
          </w:tcPr>
          <w:p w14:paraId="29ACB46C" w14:textId="77777777" w:rsidR="00DC2151" w:rsidRDefault="00DC2151" w:rsidP="004F3D07">
            <w:r>
              <w:t>3</w:t>
            </w:r>
          </w:p>
        </w:tc>
        <w:tc>
          <w:tcPr>
            <w:tcW w:w="12899" w:type="dxa"/>
            <w:shd w:val="clear" w:color="auto" w:fill="FFFFFF" w:themeFill="background1"/>
          </w:tcPr>
          <w:p w14:paraId="619260C9" w14:textId="77777777" w:rsidR="00DC2151" w:rsidRPr="007C5373" w:rsidRDefault="00680F83" w:rsidP="004F3D07">
            <w:r>
              <w:t>Heeft de aanvraag ook betrekking op de berekening van de solvabiliteitskapitaalvereiste voor een groep op basis van USP’s (Ja/Nee). Alleen bij “Ja” zijn ook de vragen 6 tot en met 10 van toepassing.</w:t>
            </w:r>
          </w:p>
        </w:tc>
      </w:tr>
      <w:tr w:rsidR="00AE2FC9" w:rsidRPr="003B21BA" w14:paraId="5105D3B8" w14:textId="77777777" w:rsidTr="004F3D07">
        <w:tc>
          <w:tcPr>
            <w:tcW w:w="14000" w:type="dxa"/>
            <w:gridSpan w:val="2"/>
            <w:shd w:val="clear" w:color="auto" w:fill="FFFFFF" w:themeFill="background1"/>
          </w:tcPr>
          <w:p w14:paraId="276461BA" w14:textId="77777777" w:rsidR="00AE2FC9" w:rsidRDefault="00985580" w:rsidP="004F3D07">
            <w:r>
              <w:t>…………………</w:t>
            </w:r>
          </w:p>
        </w:tc>
      </w:tr>
      <w:tr w:rsidR="00DC2151" w:rsidRPr="003B21BA" w14:paraId="215305C6" w14:textId="77777777" w:rsidTr="004F3D07">
        <w:tc>
          <w:tcPr>
            <w:tcW w:w="1101" w:type="dxa"/>
            <w:shd w:val="clear" w:color="auto" w:fill="FFFFFF" w:themeFill="background1"/>
          </w:tcPr>
          <w:p w14:paraId="679807B1" w14:textId="77777777" w:rsidR="00DC2151" w:rsidRDefault="00DC2151" w:rsidP="004F3D07">
            <w:r>
              <w:t>4</w:t>
            </w:r>
          </w:p>
        </w:tc>
        <w:tc>
          <w:tcPr>
            <w:tcW w:w="12899" w:type="dxa"/>
            <w:shd w:val="clear" w:color="auto" w:fill="FFFFFF" w:themeFill="background1"/>
          </w:tcPr>
          <w:p w14:paraId="4E6C06F0" w14:textId="77777777" w:rsidR="00DC2151" w:rsidRPr="00A65E59" w:rsidRDefault="00680F83" w:rsidP="004F3D07">
            <w:r>
              <w:t>Namen en functies van de personen die de aanvraag hebben ondertekend.</w:t>
            </w:r>
          </w:p>
        </w:tc>
      </w:tr>
      <w:tr w:rsidR="00AE2FC9" w:rsidRPr="003B21BA" w14:paraId="74412E87" w14:textId="77777777" w:rsidTr="004F3D07">
        <w:tc>
          <w:tcPr>
            <w:tcW w:w="14000" w:type="dxa"/>
            <w:gridSpan w:val="2"/>
            <w:shd w:val="clear" w:color="auto" w:fill="FFFFFF" w:themeFill="background1"/>
          </w:tcPr>
          <w:p w14:paraId="09113594" w14:textId="77777777" w:rsidR="00AE2FC9" w:rsidRDefault="00985580" w:rsidP="004F3D07">
            <w:r>
              <w:t>…………………</w:t>
            </w:r>
          </w:p>
        </w:tc>
      </w:tr>
      <w:tr w:rsidR="00680F83" w:rsidRPr="003B21BA" w14:paraId="3C3677CF" w14:textId="77777777" w:rsidTr="004F3D07">
        <w:tc>
          <w:tcPr>
            <w:tcW w:w="1101" w:type="dxa"/>
            <w:shd w:val="clear" w:color="auto" w:fill="FFFFFF" w:themeFill="background1"/>
          </w:tcPr>
          <w:p w14:paraId="03A2E0FD" w14:textId="77777777" w:rsidR="00680F83" w:rsidRDefault="00680F83" w:rsidP="004F3D07">
            <w:r>
              <w:t>5</w:t>
            </w:r>
          </w:p>
        </w:tc>
        <w:tc>
          <w:tcPr>
            <w:tcW w:w="12899" w:type="dxa"/>
            <w:shd w:val="clear" w:color="auto" w:fill="FFFFFF" w:themeFill="background1"/>
          </w:tcPr>
          <w:p w14:paraId="1A9E0BC6" w14:textId="77777777" w:rsidR="00680F83" w:rsidRPr="00A65E59" w:rsidRDefault="00680F83" w:rsidP="004F3D07">
            <w:r>
              <w:t xml:space="preserve">Startdatum wanneer de </w:t>
            </w:r>
            <w:r w:rsidR="00B621FB">
              <w:t xml:space="preserve">aanvrager </w:t>
            </w:r>
            <w:r>
              <w:t>de USP</w:t>
            </w:r>
            <w:r w:rsidR="00B621FB">
              <w:t>’</w:t>
            </w:r>
            <w:r>
              <w:t>s w</w:t>
            </w:r>
            <w:r w:rsidR="00B621FB">
              <w:t>il gaan toepassen</w:t>
            </w:r>
            <w:r>
              <w:t>.</w:t>
            </w:r>
          </w:p>
        </w:tc>
      </w:tr>
      <w:tr w:rsidR="00AE2FC9" w:rsidRPr="003B21BA" w14:paraId="3F0DAD77" w14:textId="77777777" w:rsidTr="004F3D07">
        <w:tc>
          <w:tcPr>
            <w:tcW w:w="14000" w:type="dxa"/>
            <w:gridSpan w:val="2"/>
            <w:shd w:val="clear" w:color="auto" w:fill="FFFFFF" w:themeFill="background1"/>
          </w:tcPr>
          <w:p w14:paraId="109F019D" w14:textId="77777777" w:rsidR="00AE2FC9" w:rsidRDefault="00985580" w:rsidP="004F3D07">
            <w:r>
              <w:t>…………………</w:t>
            </w:r>
          </w:p>
        </w:tc>
      </w:tr>
      <w:tr w:rsidR="00680F83" w:rsidRPr="003B21BA" w14:paraId="7B205491" w14:textId="77777777" w:rsidTr="004F3D07">
        <w:tc>
          <w:tcPr>
            <w:tcW w:w="1101" w:type="dxa"/>
            <w:shd w:val="clear" w:color="auto" w:fill="FFFFFF" w:themeFill="background1"/>
          </w:tcPr>
          <w:p w14:paraId="0AC4885F" w14:textId="77777777" w:rsidR="00680F83" w:rsidRDefault="00680F83" w:rsidP="004F3D07">
            <w:r>
              <w:t>6</w:t>
            </w:r>
          </w:p>
        </w:tc>
        <w:tc>
          <w:tcPr>
            <w:tcW w:w="12899" w:type="dxa"/>
            <w:shd w:val="clear" w:color="auto" w:fill="FFFFFF" w:themeFill="background1"/>
          </w:tcPr>
          <w:p w14:paraId="30B06BB2" w14:textId="77777777" w:rsidR="00680F83" w:rsidRPr="00A65E59" w:rsidRDefault="00B621FB" w:rsidP="004F3D07">
            <w:r>
              <w:t xml:space="preserve">Statutaire naam </w:t>
            </w:r>
            <w:r w:rsidR="002B4054">
              <w:t xml:space="preserve">en relatienummer </w:t>
            </w:r>
            <w:r>
              <w:t>van de groep waarop de groepsberekening van de USP’s betrekking heeft.</w:t>
            </w:r>
            <w:r w:rsidR="005709FB">
              <w:t xml:space="preserve"> </w:t>
            </w:r>
          </w:p>
        </w:tc>
      </w:tr>
      <w:tr w:rsidR="00AE2FC9" w:rsidRPr="003B21BA" w14:paraId="534A00DE" w14:textId="77777777" w:rsidTr="004F3D07">
        <w:tc>
          <w:tcPr>
            <w:tcW w:w="14000" w:type="dxa"/>
            <w:gridSpan w:val="2"/>
            <w:shd w:val="clear" w:color="auto" w:fill="FFFFFF" w:themeFill="background1"/>
          </w:tcPr>
          <w:p w14:paraId="225934C4" w14:textId="77777777" w:rsidR="00AE2FC9" w:rsidRDefault="00985580" w:rsidP="004F3D07">
            <w:r>
              <w:t>…………………</w:t>
            </w:r>
          </w:p>
        </w:tc>
      </w:tr>
      <w:tr w:rsidR="00680F83" w:rsidRPr="003B21BA" w14:paraId="794B9892" w14:textId="77777777" w:rsidTr="004F3D07">
        <w:tc>
          <w:tcPr>
            <w:tcW w:w="1101" w:type="dxa"/>
            <w:shd w:val="clear" w:color="auto" w:fill="FFFFFF" w:themeFill="background1"/>
          </w:tcPr>
          <w:p w14:paraId="5910314B" w14:textId="77777777" w:rsidR="00680F83" w:rsidRDefault="00680F83" w:rsidP="004F3D07">
            <w:r>
              <w:t>7</w:t>
            </w:r>
          </w:p>
        </w:tc>
        <w:tc>
          <w:tcPr>
            <w:tcW w:w="12899" w:type="dxa"/>
            <w:shd w:val="clear" w:color="auto" w:fill="FFFFFF" w:themeFill="background1"/>
          </w:tcPr>
          <w:p w14:paraId="5D3FF29F" w14:textId="77777777" w:rsidR="00680F83" w:rsidRPr="00A65E59" w:rsidRDefault="005709FB" w:rsidP="004F3D07">
            <w:r>
              <w:t xml:space="preserve">Statutaire namen </w:t>
            </w:r>
            <w:r w:rsidR="002B4054">
              <w:t xml:space="preserve">en relatienummers </w:t>
            </w:r>
            <w:r>
              <w:t xml:space="preserve">van </w:t>
            </w:r>
            <w:r w:rsidR="002B4054">
              <w:t>de</w:t>
            </w:r>
            <w:r>
              <w:t xml:space="preserve"> </w:t>
            </w:r>
            <w:r w:rsidR="002B4054">
              <w:t>ondernemingen waarop de  groepsberekening van de USP’s (zie vraag 6) betrekking heeft.</w:t>
            </w:r>
          </w:p>
        </w:tc>
      </w:tr>
      <w:tr w:rsidR="00AE2FC9" w:rsidRPr="003B21BA" w14:paraId="1894A772" w14:textId="77777777" w:rsidTr="004F3D07">
        <w:tc>
          <w:tcPr>
            <w:tcW w:w="14000" w:type="dxa"/>
            <w:gridSpan w:val="2"/>
            <w:shd w:val="clear" w:color="auto" w:fill="FFFFFF" w:themeFill="background1"/>
          </w:tcPr>
          <w:p w14:paraId="64291EEF" w14:textId="77777777" w:rsidR="00AE2FC9" w:rsidRDefault="00985580" w:rsidP="004F3D07">
            <w:r>
              <w:t>…………………</w:t>
            </w:r>
          </w:p>
        </w:tc>
      </w:tr>
      <w:tr w:rsidR="00680F83" w:rsidRPr="003B21BA" w14:paraId="00D61C91" w14:textId="77777777" w:rsidTr="004F3D07">
        <w:tc>
          <w:tcPr>
            <w:tcW w:w="1101" w:type="dxa"/>
            <w:shd w:val="clear" w:color="auto" w:fill="FFFFFF" w:themeFill="background1"/>
          </w:tcPr>
          <w:p w14:paraId="19E8741E" w14:textId="77777777" w:rsidR="00680F83" w:rsidRDefault="00680F83" w:rsidP="004F3D07">
            <w:r>
              <w:t>8</w:t>
            </w:r>
          </w:p>
        </w:tc>
        <w:tc>
          <w:tcPr>
            <w:tcW w:w="12899" w:type="dxa"/>
            <w:shd w:val="clear" w:color="auto" w:fill="FFFFFF" w:themeFill="background1"/>
          </w:tcPr>
          <w:p w14:paraId="05BB631E" w14:textId="77777777" w:rsidR="00680F83" w:rsidRPr="00A65E59" w:rsidRDefault="002B4054" w:rsidP="004F3D07">
            <w:r>
              <w:t>Is de aanvraag inclusief een USP voor de standaard</w:t>
            </w:r>
            <w:r w:rsidR="00AE2FC9">
              <w:t>afwijking</w:t>
            </w:r>
            <w:r>
              <w:t xml:space="preserve"> voor het </w:t>
            </w:r>
            <w:r w:rsidR="00572F75">
              <w:t>premi</w:t>
            </w:r>
            <w:r>
              <w:t>ereserverisico</w:t>
            </w:r>
            <w:r w:rsidR="00572F75">
              <w:t xml:space="preserve"> op groepsniveau bij de berekening van de solvabiliteitskapitaalvereiste op groepsniveau.</w:t>
            </w:r>
          </w:p>
        </w:tc>
      </w:tr>
      <w:tr w:rsidR="00AE2FC9" w:rsidRPr="003B21BA" w14:paraId="301E2DF3" w14:textId="77777777" w:rsidTr="004F3D07">
        <w:tc>
          <w:tcPr>
            <w:tcW w:w="14000" w:type="dxa"/>
            <w:gridSpan w:val="2"/>
            <w:shd w:val="clear" w:color="auto" w:fill="FFFFFF" w:themeFill="background1"/>
          </w:tcPr>
          <w:p w14:paraId="31128FAA" w14:textId="77777777" w:rsidR="00AE2FC9" w:rsidRDefault="00985580" w:rsidP="004F3D07">
            <w:r>
              <w:t>…………………</w:t>
            </w:r>
          </w:p>
        </w:tc>
      </w:tr>
      <w:tr w:rsidR="00680F83" w:rsidRPr="003B21BA" w14:paraId="2C2C9019" w14:textId="77777777" w:rsidTr="004F3D07">
        <w:tc>
          <w:tcPr>
            <w:tcW w:w="1101" w:type="dxa"/>
            <w:shd w:val="clear" w:color="auto" w:fill="FFFFFF" w:themeFill="background1"/>
          </w:tcPr>
          <w:p w14:paraId="10D5834F" w14:textId="77777777" w:rsidR="00680F83" w:rsidRDefault="00680F83" w:rsidP="004F3D07">
            <w:r>
              <w:t>9</w:t>
            </w:r>
          </w:p>
        </w:tc>
        <w:tc>
          <w:tcPr>
            <w:tcW w:w="12899" w:type="dxa"/>
            <w:shd w:val="clear" w:color="auto" w:fill="FFFFFF" w:themeFill="background1"/>
          </w:tcPr>
          <w:p w14:paraId="6A1B161F" w14:textId="77777777" w:rsidR="00680F83" w:rsidRPr="00A65E59" w:rsidRDefault="00572F75" w:rsidP="004F3D07">
            <w:r>
              <w:t>Welke methode word gebruikt bij berekening van de solvabiliteitskapitaalvereiste op groepsniveau.</w:t>
            </w:r>
            <w:r w:rsidR="005C721A">
              <w:t xml:space="preserve"> Voor nadere uitleg over de methodes wordt verwezen naa</w:t>
            </w:r>
            <w:r w:rsidR="00EC4E96">
              <w:t>r A</w:t>
            </w:r>
            <w:r w:rsidR="008908C0">
              <w:t>rtikelen 328 t/m 342 van de G</w:t>
            </w:r>
            <w:r w:rsidR="005C721A">
              <w:t xml:space="preserve">edelegeerde </w:t>
            </w:r>
            <w:r w:rsidR="008908C0">
              <w:t>V</w:t>
            </w:r>
            <w:r w:rsidR="005C721A">
              <w:t>erordening 2015/35.</w:t>
            </w:r>
          </w:p>
        </w:tc>
      </w:tr>
      <w:tr w:rsidR="006B5A01" w:rsidRPr="003B21BA" w14:paraId="68404381" w14:textId="77777777" w:rsidTr="004F3D07">
        <w:tc>
          <w:tcPr>
            <w:tcW w:w="14000" w:type="dxa"/>
            <w:gridSpan w:val="2"/>
            <w:shd w:val="clear" w:color="auto" w:fill="FFFFFF" w:themeFill="background1"/>
          </w:tcPr>
          <w:p w14:paraId="44A0CF5F" w14:textId="77777777" w:rsidR="006B5A01" w:rsidRDefault="006B5A01" w:rsidP="004F3D07">
            <w:r>
              <w:t>…………………</w:t>
            </w:r>
          </w:p>
        </w:tc>
      </w:tr>
      <w:tr w:rsidR="006B5A01" w:rsidRPr="003B21BA" w14:paraId="44AA8A8B" w14:textId="77777777" w:rsidTr="004F3D07">
        <w:tc>
          <w:tcPr>
            <w:tcW w:w="1101" w:type="dxa"/>
            <w:shd w:val="clear" w:color="auto" w:fill="FFFFFF" w:themeFill="background1"/>
          </w:tcPr>
          <w:p w14:paraId="046A9D75" w14:textId="77777777" w:rsidR="006B5A01" w:rsidRDefault="006B5A01" w:rsidP="004F3D07">
            <w:r>
              <w:t>10</w:t>
            </w:r>
          </w:p>
        </w:tc>
        <w:tc>
          <w:tcPr>
            <w:tcW w:w="12899" w:type="dxa"/>
            <w:shd w:val="clear" w:color="auto" w:fill="FFFFFF" w:themeFill="background1"/>
          </w:tcPr>
          <w:p w14:paraId="09275312" w14:textId="77777777" w:rsidR="006B5A01" w:rsidRPr="00A65E59" w:rsidRDefault="006B5A01" w:rsidP="004F3D07">
            <w:r>
              <w:t xml:space="preserve">Verstrek gedetailleerde informatie over de betrokken ondernemingen indien een combinatie van methode 1 en methode 2 is gebruikt bij de berekening van de solvabiliteitskapitaalvereiste op groepsniveau. </w:t>
            </w:r>
          </w:p>
        </w:tc>
      </w:tr>
      <w:tr w:rsidR="006B5A01" w:rsidRPr="003B21BA" w14:paraId="3CC192A0" w14:textId="77777777" w:rsidTr="004F3D07">
        <w:tc>
          <w:tcPr>
            <w:tcW w:w="14000" w:type="dxa"/>
            <w:gridSpan w:val="2"/>
            <w:shd w:val="clear" w:color="auto" w:fill="FFFFFF" w:themeFill="background1"/>
          </w:tcPr>
          <w:p w14:paraId="5D91C864" w14:textId="77777777" w:rsidR="006B5A01" w:rsidRDefault="006B5A01" w:rsidP="004F3D07">
            <w:r>
              <w:t>Referentie naar document(en)</w:t>
            </w:r>
          </w:p>
        </w:tc>
      </w:tr>
    </w:tbl>
    <w:p w14:paraId="6922C5FC" w14:textId="77777777" w:rsidR="00172E9B" w:rsidRDefault="00172E9B">
      <w:pPr>
        <w:spacing w:after="160"/>
      </w:pPr>
    </w:p>
    <w:p w14:paraId="761247C9" w14:textId="77777777" w:rsidR="00172E9B" w:rsidRDefault="00172E9B">
      <w:pPr>
        <w:spacing w:after="160"/>
      </w:pPr>
      <w:r>
        <w:br w:type="page"/>
      </w:r>
    </w:p>
    <w:tbl>
      <w:tblPr>
        <w:tblStyle w:val="Tabelraster"/>
        <w:tblpPr w:leftFromText="141" w:rightFromText="141" w:horzAnchor="margin" w:tblpY="615"/>
        <w:tblW w:w="13858" w:type="dxa"/>
        <w:tblLook w:val="04A0" w:firstRow="1" w:lastRow="0" w:firstColumn="1" w:lastColumn="0" w:noHBand="0" w:noVBand="1"/>
      </w:tblPr>
      <w:tblGrid>
        <w:gridCol w:w="1526"/>
        <w:gridCol w:w="1233"/>
        <w:gridCol w:w="1233"/>
        <w:gridCol w:w="1233"/>
        <w:gridCol w:w="1233"/>
        <w:gridCol w:w="1234"/>
        <w:gridCol w:w="1233"/>
        <w:gridCol w:w="1233"/>
        <w:gridCol w:w="1233"/>
        <w:gridCol w:w="1233"/>
        <w:gridCol w:w="1234"/>
      </w:tblGrid>
      <w:tr w:rsidR="00172E9B" w14:paraId="5BC1A42A" w14:textId="77777777" w:rsidTr="008D1B3F">
        <w:tc>
          <w:tcPr>
            <w:tcW w:w="1526" w:type="dxa"/>
            <w:vMerge w:val="restart"/>
            <w:shd w:val="clear" w:color="auto" w:fill="D9D9D9" w:themeFill="background1" w:themeFillShade="D9"/>
          </w:tcPr>
          <w:p w14:paraId="3658D1CC" w14:textId="77777777" w:rsidR="00172E9B" w:rsidRPr="008D1B3F" w:rsidRDefault="00172E9B" w:rsidP="00172E9B">
            <w:pPr>
              <w:jc w:val="center"/>
            </w:pPr>
            <w:r w:rsidRPr="008D1B3F">
              <w:lastRenderedPageBreak/>
              <w:t>Onderneming</w:t>
            </w:r>
          </w:p>
        </w:tc>
        <w:tc>
          <w:tcPr>
            <w:tcW w:w="2466" w:type="dxa"/>
            <w:gridSpan w:val="2"/>
            <w:shd w:val="clear" w:color="auto" w:fill="D9D9D9" w:themeFill="background1" w:themeFillShade="D9"/>
          </w:tcPr>
          <w:p w14:paraId="0875489E" w14:textId="77777777" w:rsidR="00AE150B" w:rsidRPr="008D1B3F" w:rsidRDefault="00AE150B" w:rsidP="00172E9B">
            <w:pPr>
              <w:jc w:val="center"/>
            </w:pPr>
            <w:r w:rsidRPr="008D1B3F">
              <w:t>S</w:t>
            </w:r>
            <w:r w:rsidR="007B0E9B" w:rsidRPr="008D1B3F">
              <w:t>KV</w:t>
            </w:r>
          </w:p>
          <w:p w14:paraId="166F9025" w14:textId="77777777" w:rsidR="00172E9B" w:rsidRPr="008D1B3F" w:rsidRDefault="00172E9B" w:rsidP="00172E9B">
            <w:pPr>
              <w:jc w:val="center"/>
            </w:pPr>
            <w:r w:rsidRPr="008D1B3F">
              <w:t>Premierisico</w:t>
            </w:r>
          </w:p>
        </w:tc>
        <w:tc>
          <w:tcPr>
            <w:tcW w:w="2466" w:type="dxa"/>
            <w:gridSpan w:val="2"/>
            <w:shd w:val="clear" w:color="auto" w:fill="D9D9D9" w:themeFill="background1" w:themeFillShade="D9"/>
          </w:tcPr>
          <w:p w14:paraId="50F99E80" w14:textId="77777777" w:rsidR="00AE150B" w:rsidRPr="008D1B3F" w:rsidRDefault="00AE150B" w:rsidP="00172E9B">
            <w:pPr>
              <w:jc w:val="center"/>
            </w:pPr>
            <w:r w:rsidRPr="008D1B3F">
              <w:t>SKV</w:t>
            </w:r>
          </w:p>
          <w:p w14:paraId="13428425" w14:textId="77777777" w:rsidR="00172E9B" w:rsidRPr="008D1B3F" w:rsidRDefault="00172E9B" w:rsidP="00172E9B">
            <w:pPr>
              <w:jc w:val="center"/>
            </w:pPr>
            <w:r w:rsidRPr="008D1B3F">
              <w:t>Reserverisico</w:t>
            </w:r>
          </w:p>
        </w:tc>
        <w:tc>
          <w:tcPr>
            <w:tcW w:w="2467" w:type="dxa"/>
            <w:gridSpan w:val="2"/>
            <w:shd w:val="clear" w:color="auto" w:fill="D9D9D9" w:themeFill="background1" w:themeFillShade="D9"/>
          </w:tcPr>
          <w:p w14:paraId="79D44BA4" w14:textId="77777777" w:rsidR="00AE150B" w:rsidRPr="008D1B3F" w:rsidRDefault="00AE150B" w:rsidP="00AE150B">
            <w:pPr>
              <w:jc w:val="center"/>
            </w:pPr>
            <w:r w:rsidRPr="008D1B3F">
              <w:t>SKV</w:t>
            </w:r>
          </w:p>
          <w:p w14:paraId="6066C85D" w14:textId="77777777" w:rsidR="00172E9B" w:rsidRPr="008D1B3F" w:rsidRDefault="00172E9B" w:rsidP="00AE150B">
            <w:pPr>
              <w:jc w:val="center"/>
            </w:pPr>
            <w:r w:rsidRPr="008D1B3F">
              <w:t>Herzieningsrisico Leven</w:t>
            </w:r>
          </w:p>
        </w:tc>
        <w:tc>
          <w:tcPr>
            <w:tcW w:w="2466" w:type="dxa"/>
            <w:gridSpan w:val="2"/>
            <w:shd w:val="clear" w:color="auto" w:fill="D9D9D9" w:themeFill="background1" w:themeFillShade="D9"/>
          </w:tcPr>
          <w:p w14:paraId="6221864D" w14:textId="77777777" w:rsidR="00AE150B" w:rsidRPr="008D1B3F" w:rsidRDefault="00AE150B" w:rsidP="00AE150B">
            <w:pPr>
              <w:jc w:val="center"/>
            </w:pPr>
            <w:r w:rsidRPr="008D1B3F">
              <w:t>SKV</w:t>
            </w:r>
          </w:p>
          <w:p w14:paraId="3B2A351B" w14:textId="77777777" w:rsidR="00172E9B" w:rsidRPr="008D1B3F" w:rsidRDefault="00172E9B" w:rsidP="00290488">
            <w:pPr>
              <w:jc w:val="center"/>
            </w:pPr>
            <w:r w:rsidRPr="008D1B3F">
              <w:t>Herzieningsrisico Z</w:t>
            </w:r>
            <w:r w:rsidR="00290488" w:rsidRPr="008D1B3F">
              <w:t>iekte</w:t>
            </w:r>
          </w:p>
        </w:tc>
        <w:tc>
          <w:tcPr>
            <w:tcW w:w="2467" w:type="dxa"/>
            <w:gridSpan w:val="2"/>
            <w:shd w:val="clear" w:color="auto" w:fill="D9D9D9" w:themeFill="background1" w:themeFillShade="D9"/>
          </w:tcPr>
          <w:p w14:paraId="5D440D52" w14:textId="77777777" w:rsidR="007B0E9B" w:rsidRPr="008D1B3F" w:rsidRDefault="00172E9B" w:rsidP="00172E9B">
            <w:pPr>
              <w:jc w:val="center"/>
            </w:pPr>
            <w:r w:rsidRPr="008D1B3F">
              <w:t>SKV</w:t>
            </w:r>
          </w:p>
          <w:p w14:paraId="16BFEBB1" w14:textId="77777777" w:rsidR="00172E9B" w:rsidRPr="008D1B3F" w:rsidRDefault="00AE150B" w:rsidP="00172E9B">
            <w:pPr>
              <w:jc w:val="center"/>
            </w:pPr>
            <w:r w:rsidRPr="008D1B3F">
              <w:t>Totaal</w:t>
            </w:r>
          </w:p>
        </w:tc>
      </w:tr>
      <w:tr w:rsidR="00172E9B" w14:paraId="36993DF6" w14:textId="77777777" w:rsidTr="008D1B3F">
        <w:tc>
          <w:tcPr>
            <w:tcW w:w="1526" w:type="dxa"/>
            <w:vMerge/>
            <w:shd w:val="clear" w:color="auto" w:fill="D9D9D9" w:themeFill="background1" w:themeFillShade="D9"/>
          </w:tcPr>
          <w:p w14:paraId="2EC3C84F" w14:textId="77777777" w:rsidR="00172E9B" w:rsidRPr="008D1B3F" w:rsidRDefault="00172E9B" w:rsidP="00172E9B"/>
        </w:tc>
        <w:tc>
          <w:tcPr>
            <w:tcW w:w="1233" w:type="dxa"/>
            <w:shd w:val="clear" w:color="auto" w:fill="D9D9D9" w:themeFill="background1" w:themeFillShade="D9"/>
          </w:tcPr>
          <w:p w14:paraId="27E84B81" w14:textId="77777777" w:rsidR="00172E9B" w:rsidRPr="008D1B3F" w:rsidRDefault="00AE150B" w:rsidP="00AE150B">
            <w:pPr>
              <w:jc w:val="center"/>
            </w:pPr>
            <w:r w:rsidRPr="008D1B3F">
              <w:t>SF</w:t>
            </w:r>
          </w:p>
        </w:tc>
        <w:tc>
          <w:tcPr>
            <w:tcW w:w="1233" w:type="dxa"/>
            <w:shd w:val="clear" w:color="auto" w:fill="D9D9D9" w:themeFill="background1" w:themeFillShade="D9"/>
          </w:tcPr>
          <w:p w14:paraId="15A54E4F" w14:textId="77777777" w:rsidR="00172E9B" w:rsidRPr="008D1B3F" w:rsidRDefault="00172E9B" w:rsidP="00172E9B">
            <w:pPr>
              <w:jc w:val="center"/>
            </w:pPr>
            <w:r w:rsidRPr="008D1B3F">
              <w:t>USP</w:t>
            </w:r>
          </w:p>
        </w:tc>
        <w:tc>
          <w:tcPr>
            <w:tcW w:w="1233" w:type="dxa"/>
            <w:shd w:val="clear" w:color="auto" w:fill="D9D9D9" w:themeFill="background1" w:themeFillShade="D9"/>
          </w:tcPr>
          <w:p w14:paraId="01B9FA41" w14:textId="77777777" w:rsidR="00172E9B" w:rsidRPr="008D1B3F" w:rsidRDefault="00172E9B" w:rsidP="00AE150B">
            <w:pPr>
              <w:jc w:val="center"/>
            </w:pPr>
            <w:r w:rsidRPr="008D1B3F">
              <w:t>SF</w:t>
            </w:r>
          </w:p>
        </w:tc>
        <w:tc>
          <w:tcPr>
            <w:tcW w:w="1233" w:type="dxa"/>
            <w:shd w:val="clear" w:color="auto" w:fill="D9D9D9" w:themeFill="background1" w:themeFillShade="D9"/>
          </w:tcPr>
          <w:p w14:paraId="56C24303" w14:textId="77777777" w:rsidR="00172E9B" w:rsidRPr="008D1B3F" w:rsidRDefault="00172E9B" w:rsidP="00172E9B">
            <w:pPr>
              <w:jc w:val="center"/>
            </w:pPr>
            <w:r w:rsidRPr="008D1B3F">
              <w:t>USP</w:t>
            </w:r>
          </w:p>
        </w:tc>
        <w:tc>
          <w:tcPr>
            <w:tcW w:w="1234" w:type="dxa"/>
            <w:shd w:val="clear" w:color="auto" w:fill="D9D9D9" w:themeFill="background1" w:themeFillShade="D9"/>
          </w:tcPr>
          <w:p w14:paraId="7591BB28" w14:textId="77777777" w:rsidR="00172E9B" w:rsidRPr="008D1B3F" w:rsidRDefault="00AE150B" w:rsidP="00172E9B">
            <w:pPr>
              <w:jc w:val="center"/>
            </w:pPr>
            <w:r w:rsidRPr="008D1B3F">
              <w:t>SF</w:t>
            </w:r>
          </w:p>
        </w:tc>
        <w:tc>
          <w:tcPr>
            <w:tcW w:w="1233" w:type="dxa"/>
            <w:shd w:val="clear" w:color="auto" w:fill="D9D9D9" w:themeFill="background1" w:themeFillShade="D9"/>
          </w:tcPr>
          <w:p w14:paraId="72C5E20B" w14:textId="77777777" w:rsidR="00172E9B" w:rsidRPr="008D1B3F" w:rsidRDefault="00172E9B" w:rsidP="00172E9B">
            <w:pPr>
              <w:jc w:val="center"/>
            </w:pPr>
            <w:r w:rsidRPr="008D1B3F">
              <w:t>USP</w:t>
            </w:r>
          </w:p>
        </w:tc>
        <w:tc>
          <w:tcPr>
            <w:tcW w:w="1233" w:type="dxa"/>
            <w:shd w:val="clear" w:color="auto" w:fill="D9D9D9" w:themeFill="background1" w:themeFillShade="D9"/>
          </w:tcPr>
          <w:p w14:paraId="2C7DAB38" w14:textId="77777777" w:rsidR="00172E9B" w:rsidRPr="008D1B3F" w:rsidRDefault="00AE150B" w:rsidP="00172E9B">
            <w:pPr>
              <w:jc w:val="center"/>
            </w:pPr>
            <w:r w:rsidRPr="008D1B3F">
              <w:t>SF</w:t>
            </w:r>
          </w:p>
        </w:tc>
        <w:tc>
          <w:tcPr>
            <w:tcW w:w="1233" w:type="dxa"/>
            <w:shd w:val="clear" w:color="auto" w:fill="D9D9D9" w:themeFill="background1" w:themeFillShade="D9"/>
          </w:tcPr>
          <w:p w14:paraId="6C1E5A7C" w14:textId="77777777" w:rsidR="00172E9B" w:rsidRPr="008D1B3F" w:rsidRDefault="00172E9B" w:rsidP="00172E9B">
            <w:pPr>
              <w:jc w:val="center"/>
            </w:pPr>
            <w:r w:rsidRPr="008D1B3F">
              <w:t>USP</w:t>
            </w:r>
          </w:p>
        </w:tc>
        <w:tc>
          <w:tcPr>
            <w:tcW w:w="1233" w:type="dxa"/>
            <w:shd w:val="clear" w:color="auto" w:fill="D9D9D9" w:themeFill="background1" w:themeFillShade="D9"/>
          </w:tcPr>
          <w:p w14:paraId="63822A66" w14:textId="77777777" w:rsidR="00172E9B" w:rsidRPr="008D1B3F" w:rsidRDefault="00AE150B" w:rsidP="00172E9B">
            <w:pPr>
              <w:jc w:val="center"/>
            </w:pPr>
            <w:r w:rsidRPr="008D1B3F">
              <w:t>SF</w:t>
            </w:r>
          </w:p>
        </w:tc>
        <w:tc>
          <w:tcPr>
            <w:tcW w:w="1234" w:type="dxa"/>
            <w:shd w:val="clear" w:color="auto" w:fill="D9D9D9" w:themeFill="background1" w:themeFillShade="D9"/>
          </w:tcPr>
          <w:p w14:paraId="13A185DD" w14:textId="77777777" w:rsidR="00172E9B" w:rsidRPr="008D1B3F" w:rsidRDefault="00172E9B" w:rsidP="00172E9B">
            <w:pPr>
              <w:jc w:val="center"/>
            </w:pPr>
            <w:r w:rsidRPr="008D1B3F">
              <w:t>USP</w:t>
            </w:r>
          </w:p>
        </w:tc>
      </w:tr>
      <w:tr w:rsidR="00A10E45" w:rsidRPr="007C5373" w14:paraId="46E3AE61" w14:textId="77777777" w:rsidTr="008D1B3F">
        <w:tc>
          <w:tcPr>
            <w:tcW w:w="1526" w:type="dxa"/>
            <w:shd w:val="clear" w:color="auto" w:fill="D9D9D9" w:themeFill="background1" w:themeFillShade="D9"/>
          </w:tcPr>
          <w:p w14:paraId="2FEAD591" w14:textId="77777777" w:rsidR="00A10E45" w:rsidRPr="008D1B3F" w:rsidRDefault="00A10E45" w:rsidP="00A10E45">
            <w:pPr>
              <w:jc w:val="center"/>
            </w:pPr>
            <w:r w:rsidRPr="008D1B3F">
              <w:t>(1)</w:t>
            </w:r>
          </w:p>
        </w:tc>
        <w:tc>
          <w:tcPr>
            <w:tcW w:w="1233" w:type="dxa"/>
            <w:shd w:val="clear" w:color="auto" w:fill="D9D9D9" w:themeFill="background1" w:themeFillShade="D9"/>
          </w:tcPr>
          <w:p w14:paraId="5F0FF54A" w14:textId="77777777" w:rsidR="00A10E45" w:rsidRPr="008D1B3F" w:rsidRDefault="00A10E45" w:rsidP="00A10E45">
            <w:pPr>
              <w:jc w:val="center"/>
            </w:pPr>
            <w:r w:rsidRPr="008D1B3F">
              <w:t>(2)</w:t>
            </w:r>
          </w:p>
        </w:tc>
        <w:tc>
          <w:tcPr>
            <w:tcW w:w="1233" w:type="dxa"/>
            <w:shd w:val="clear" w:color="auto" w:fill="D9D9D9" w:themeFill="background1" w:themeFillShade="D9"/>
          </w:tcPr>
          <w:p w14:paraId="0241FB04" w14:textId="77777777" w:rsidR="00A10E45" w:rsidRPr="008D1B3F" w:rsidRDefault="00A10E45" w:rsidP="00A10E45">
            <w:pPr>
              <w:jc w:val="center"/>
            </w:pPr>
            <w:r w:rsidRPr="008D1B3F">
              <w:t>(3)</w:t>
            </w:r>
          </w:p>
        </w:tc>
        <w:tc>
          <w:tcPr>
            <w:tcW w:w="1233" w:type="dxa"/>
            <w:shd w:val="clear" w:color="auto" w:fill="D9D9D9" w:themeFill="background1" w:themeFillShade="D9"/>
          </w:tcPr>
          <w:p w14:paraId="384787D8" w14:textId="77777777" w:rsidR="00A10E45" w:rsidRPr="008D1B3F" w:rsidRDefault="00A10E45" w:rsidP="00A10E45">
            <w:pPr>
              <w:jc w:val="center"/>
            </w:pPr>
            <w:r w:rsidRPr="008D1B3F">
              <w:t>(4)</w:t>
            </w:r>
          </w:p>
        </w:tc>
        <w:tc>
          <w:tcPr>
            <w:tcW w:w="1233" w:type="dxa"/>
            <w:shd w:val="clear" w:color="auto" w:fill="D9D9D9" w:themeFill="background1" w:themeFillShade="D9"/>
          </w:tcPr>
          <w:p w14:paraId="2B333693" w14:textId="77777777" w:rsidR="00A10E45" w:rsidRPr="008D1B3F" w:rsidRDefault="00A10E45" w:rsidP="00A10E45">
            <w:pPr>
              <w:jc w:val="center"/>
            </w:pPr>
            <w:r w:rsidRPr="008D1B3F">
              <w:t>(5)</w:t>
            </w:r>
          </w:p>
        </w:tc>
        <w:tc>
          <w:tcPr>
            <w:tcW w:w="1234" w:type="dxa"/>
            <w:shd w:val="clear" w:color="auto" w:fill="D9D9D9" w:themeFill="background1" w:themeFillShade="D9"/>
          </w:tcPr>
          <w:p w14:paraId="66C16C5B" w14:textId="77777777" w:rsidR="00A10E45" w:rsidRPr="008D1B3F" w:rsidRDefault="00A10E45" w:rsidP="00A10E45">
            <w:pPr>
              <w:jc w:val="center"/>
            </w:pPr>
            <w:r w:rsidRPr="008D1B3F">
              <w:t>(6)</w:t>
            </w:r>
          </w:p>
        </w:tc>
        <w:tc>
          <w:tcPr>
            <w:tcW w:w="1233" w:type="dxa"/>
            <w:shd w:val="clear" w:color="auto" w:fill="D9D9D9" w:themeFill="background1" w:themeFillShade="D9"/>
          </w:tcPr>
          <w:p w14:paraId="2566DFCA" w14:textId="77777777" w:rsidR="00A10E45" w:rsidRPr="008D1B3F" w:rsidRDefault="00A10E45" w:rsidP="00A10E45">
            <w:pPr>
              <w:jc w:val="center"/>
            </w:pPr>
            <w:r w:rsidRPr="008D1B3F">
              <w:t>(7)</w:t>
            </w:r>
          </w:p>
        </w:tc>
        <w:tc>
          <w:tcPr>
            <w:tcW w:w="1233" w:type="dxa"/>
            <w:shd w:val="clear" w:color="auto" w:fill="D9D9D9" w:themeFill="background1" w:themeFillShade="D9"/>
          </w:tcPr>
          <w:p w14:paraId="76A3FE1A" w14:textId="77777777" w:rsidR="00A10E45" w:rsidRPr="008D1B3F" w:rsidRDefault="00A10E45" w:rsidP="00A10E45">
            <w:pPr>
              <w:jc w:val="center"/>
            </w:pPr>
            <w:r w:rsidRPr="008D1B3F">
              <w:t>(8)</w:t>
            </w:r>
          </w:p>
        </w:tc>
        <w:tc>
          <w:tcPr>
            <w:tcW w:w="1233" w:type="dxa"/>
            <w:shd w:val="clear" w:color="auto" w:fill="D9D9D9" w:themeFill="background1" w:themeFillShade="D9"/>
          </w:tcPr>
          <w:p w14:paraId="0C5834B8" w14:textId="77777777" w:rsidR="00A10E45" w:rsidRPr="008D1B3F" w:rsidRDefault="00A10E45" w:rsidP="00A10E45">
            <w:pPr>
              <w:jc w:val="center"/>
            </w:pPr>
            <w:r w:rsidRPr="008D1B3F">
              <w:t>(9)</w:t>
            </w:r>
          </w:p>
        </w:tc>
        <w:tc>
          <w:tcPr>
            <w:tcW w:w="1233" w:type="dxa"/>
            <w:shd w:val="clear" w:color="auto" w:fill="D9D9D9" w:themeFill="background1" w:themeFillShade="D9"/>
          </w:tcPr>
          <w:p w14:paraId="2EEB2154" w14:textId="77777777" w:rsidR="00A10E45" w:rsidRPr="008D1B3F" w:rsidRDefault="00A10E45" w:rsidP="00A10E45">
            <w:pPr>
              <w:jc w:val="center"/>
            </w:pPr>
            <w:r w:rsidRPr="008D1B3F">
              <w:t>(10)</w:t>
            </w:r>
          </w:p>
        </w:tc>
        <w:tc>
          <w:tcPr>
            <w:tcW w:w="1234" w:type="dxa"/>
            <w:shd w:val="clear" w:color="auto" w:fill="D9D9D9" w:themeFill="background1" w:themeFillShade="D9"/>
          </w:tcPr>
          <w:p w14:paraId="0D6A6CFC" w14:textId="77777777" w:rsidR="00A10E45" w:rsidRPr="008D1B3F" w:rsidRDefault="00A10E45" w:rsidP="00A10E45">
            <w:pPr>
              <w:jc w:val="center"/>
            </w:pPr>
            <w:r w:rsidRPr="008D1B3F">
              <w:t>(11)</w:t>
            </w:r>
          </w:p>
        </w:tc>
      </w:tr>
      <w:tr w:rsidR="00ED7986" w:rsidRPr="00A65E59" w14:paraId="6CCC3F25" w14:textId="77777777" w:rsidTr="00AE150B">
        <w:tc>
          <w:tcPr>
            <w:tcW w:w="1526" w:type="dxa"/>
          </w:tcPr>
          <w:p w14:paraId="27A586DF" w14:textId="77777777" w:rsidR="00ED7986" w:rsidRDefault="00ED7986">
            <w:r w:rsidRPr="00A33E61">
              <w:t>…………………</w:t>
            </w:r>
          </w:p>
        </w:tc>
        <w:tc>
          <w:tcPr>
            <w:tcW w:w="1233" w:type="dxa"/>
          </w:tcPr>
          <w:p w14:paraId="1433E55E" w14:textId="77777777" w:rsidR="00ED7986" w:rsidRPr="00A65E59" w:rsidRDefault="00ED7986" w:rsidP="00A10E45"/>
        </w:tc>
        <w:tc>
          <w:tcPr>
            <w:tcW w:w="1233" w:type="dxa"/>
          </w:tcPr>
          <w:p w14:paraId="25F2FE26" w14:textId="77777777" w:rsidR="00ED7986" w:rsidRPr="00A65E59" w:rsidRDefault="00ED7986" w:rsidP="00A10E45"/>
        </w:tc>
        <w:tc>
          <w:tcPr>
            <w:tcW w:w="1233" w:type="dxa"/>
          </w:tcPr>
          <w:p w14:paraId="760CB7B7" w14:textId="77777777" w:rsidR="00ED7986" w:rsidRPr="00A65E59" w:rsidRDefault="00ED7986" w:rsidP="00A10E45"/>
        </w:tc>
        <w:tc>
          <w:tcPr>
            <w:tcW w:w="1233" w:type="dxa"/>
          </w:tcPr>
          <w:p w14:paraId="60F0E55C" w14:textId="77777777" w:rsidR="00ED7986" w:rsidRPr="00A65E59" w:rsidRDefault="00ED7986" w:rsidP="00A10E45"/>
        </w:tc>
        <w:tc>
          <w:tcPr>
            <w:tcW w:w="1234" w:type="dxa"/>
          </w:tcPr>
          <w:p w14:paraId="149BDA42" w14:textId="77777777" w:rsidR="00ED7986" w:rsidRPr="00A65E59" w:rsidRDefault="00ED7986" w:rsidP="00A10E45"/>
        </w:tc>
        <w:tc>
          <w:tcPr>
            <w:tcW w:w="1233" w:type="dxa"/>
          </w:tcPr>
          <w:p w14:paraId="3A10D5AB" w14:textId="77777777" w:rsidR="00ED7986" w:rsidRPr="00A65E59" w:rsidRDefault="00ED7986" w:rsidP="00A10E45"/>
        </w:tc>
        <w:tc>
          <w:tcPr>
            <w:tcW w:w="1233" w:type="dxa"/>
          </w:tcPr>
          <w:p w14:paraId="32E1C3BC" w14:textId="77777777" w:rsidR="00ED7986" w:rsidRPr="00A65E59" w:rsidRDefault="00ED7986" w:rsidP="00A10E45"/>
        </w:tc>
        <w:tc>
          <w:tcPr>
            <w:tcW w:w="1233" w:type="dxa"/>
          </w:tcPr>
          <w:p w14:paraId="1A1EC922" w14:textId="77777777" w:rsidR="00ED7986" w:rsidRPr="00A65E59" w:rsidRDefault="00ED7986" w:rsidP="00A10E45"/>
        </w:tc>
        <w:tc>
          <w:tcPr>
            <w:tcW w:w="1233" w:type="dxa"/>
          </w:tcPr>
          <w:p w14:paraId="2A16DBEB" w14:textId="77777777" w:rsidR="00ED7986" w:rsidRPr="00A65E59" w:rsidRDefault="00ED7986" w:rsidP="00A10E45"/>
        </w:tc>
        <w:tc>
          <w:tcPr>
            <w:tcW w:w="1234" w:type="dxa"/>
          </w:tcPr>
          <w:p w14:paraId="49FF938C" w14:textId="77777777" w:rsidR="00ED7986" w:rsidRPr="00A65E59" w:rsidRDefault="00ED7986" w:rsidP="00A10E45"/>
        </w:tc>
      </w:tr>
      <w:tr w:rsidR="00ED7986" w:rsidRPr="00A65E59" w14:paraId="7F735A64" w14:textId="77777777" w:rsidTr="00AE150B">
        <w:tc>
          <w:tcPr>
            <w:tcW w:w="1526" w:type="dxa"/>
          </w:tcPr>
          <w:p w14:paraId="729F4DBF" w14:textId="77777777" w:rsidR="00ED7986" w:rsidRDefault="00ED7986">
            <w:r w:rsidRPr="00A33E61">
              <w:t>…………………</w:t>
            </w:r>
          </w:p>
        </w:tc>
        <w:tc>
          <w:tcPr>
            <w:tcW w:w="1233" w:type="dxa"/>
          </w:tcPr>
          <w:p w14:paraId="64769A63" w14:textId="77777777" w:rsidR="00ED7986" w:rsidRPr="00A65E59" w:rsidRDefault="00ED7986" w:rsidP="00A10E45"/>
        </w:tc>
        <w:tc>
          <w:tcPr>
            <w:tcW w:w="1233" w:type="dxa"/>
          </w:tcPr>
          <w:p w14:paraId="350DA780" w14:textId="77777777" w:rsidR="00ED7986" w:rsidRPr="00A65E59" w:rsidRDefault="00ED7986" w:rsidP="00A10E45"/>
        </w:tc>
        <w:tc>
          <w:tcPr>
            <w:tcW w:w="1233" w:type="dxa"/>
          </w:tcPr>
          <w:p w14:paraId="67DFA3AD" w14:textId="77777777" w:rsidR="00ED7986" w:rsidRPr="00A65E59" w:rsidRDefault="00ED7986" w:rsidP="00A10E45"/>
        </w:tc>
        <w:tc>
          <w:tcPr>
            <w:tcW w:w="1233" w:type="dxa"/>
          </w:tcPr>
          <w:p w14:paraId="09971D4F" w14:textId="77777777" w:rsidR="00ED7986" w:rsidRPr="00A65E59" w:rsidRDefault="00ED7986" w:rsidP="00A10E45"/>
        </w:tc>
        <w:tc>
          <w:tcPr>
            <w:tcW w:w="1234" w:type="dxa"/>
          </w:tcPr>
          <w:p w14:paraId="054C240A" w14:textId="77777777" w:rsidR="00ED7986" w:rsidRPr="00A65E59" w:rsidRDefault="00ED7986" w:rsidP="00A10E45"/>
        </w:tc>
        <w:tc>
          <w:tcPr>
            <w:tcW w:w="1233" w:type="dxa"/>
          </w:tcPr>
          <w:p w14:paraId="550F39EC" w14:textId="77777777" w:rsidR="00ED7986" w:rsidRPr="00A65E59" w:rsidRDefault="00ED7986" w:rsidP="00A10E45"/>
        </w:tc>
        <w:tc>
          <w:tcPr>
            <w:tcW w:w="1233" w:type="dxa"/>
          </w:tcPr>
          <w:p w14:paraId="442DE59B" w14:textId="77777777" w:rsidR="00ED7986" w:rsidRPr="00A65E59" w:rsidRDefault="00ED7986" w:rsidP="00A10E45"/>
        </w:tc>
        <w:tc>
          <w:tcPr>
            <w:tcW w:w="1233" w:type="dxa"/>
          </w:tcPr>
          <w:p w14:paraId="2FCE411A" w14:textId="77777777" w:rsidR="00ED7986" w:rsidRPr="00A65E59" w:rsidRDefault="00ED7986" w:rsidP="00A10E45"/>
        </w:tc>
        <w:tc>
          <w:tcPr>
            <w:tcW w:w="1233" w:type="dxa"/>
          </w:tcPr>
          <w:p w14:paraId="16A45B77" w14:textId="77777777" w:rsidR="00ED7986" w:rsidRPr="00A65E59" w:rsidRDefault="00ED7986" w:rsidP="00A10E45"/>
        </w:tc>
        <w:tc>
          <w:tcPr>
            <w:tcW w:w="1234" w:type="dxa"/>
          </w:tcPr>
          <w:p w14:paraId="3A558F9D" w14:textId="77777777" w:rsidR="00ED7986" w:rsidRPr="00A65E59" w:rsidRDefault="00ED7986" w:rsidP="00A10E45"/>
        </w:tc>
      </w:tr>
      <w:tr w:rsidR="00ED7986" w:rsidRPr="00A65E59" w14:paraId="5285B933" w14:textId="77777777" w:rsidTr="00AE150B">
        <w:tc>
          <w:tcPr>
            <w:tcW w:w="1526" w:type="dxa"/>
          </w:tcPr>
          <w:p w14:paraId="075F9ECD" w14:textId="77777777" w:rsidR="00ED7986" w:rsidRDefault="00ED7986">
            <w:r w:rsidRPr="00A33E61">
              <w:t>…………………</w:t>
            </w:r>
          </w:p>
        </w:tc>
        <w:tc>
          <w:tcPr>
            <w:tcW w:w="1233" w:type="dxa"/>
          </w:tcPr>
          <w:p w14:paraId="7A5BC44F" w14:textId="77777777" w:rsidR="00ED7986" w:rsidRPr="00A65E59" w:rsidRDefault="00ED7986" w:rsidP="00A10E45"/>
        </w:tc>
        <w:tc>
          <w:tcPr>
            <w:tcW w:w="1233" w:type="dxa"/>
          </w:tcPr>
          <w:p w14:paraId="2D87007D" w14:textId="77777777" w:rsidR="00ED7986" w:rsidRPr="00A65E59" w:rsidRDefault="00ED7986" w:rsidP="00A10E45"/>
        </w:tc>
        <w:tc>
          <w:tcPr>
            <w:tcW w:w="1233" w:type="dxa"/>
          </w:tcPr>
          <w:p w14:paraId="2F2A8391" w14:textId="77777777" w:rsidR="00ED7986" w:rsidRPr="00A65E59" w:rsidRDefault="00ED7986" w:rsidP="00A10E45"/>
        </w:tc>
        <w:tc>
          <w:tcPr>
            <w:tcW w:w="1233" w:type="dxa"/>
          </w:tcPr>
          <w:p w14:paraId="0D062872" w14:textId="77777777" w:rsidR="00ED7986" w:rsidRPr="00A65E59" w:rsidRDefault="00ED7986" w:rsidP="00A10E45"/>
        </w:tc>
        <w:tc>
          <w:tcPr>
            <w:tcW w:w="1234" w:type="dxa"/>
          </w:tcPr>
          <w:p w14:paraId="404A5DED" w14:textId="77777777" w:rsidR="00ED7986" w:rsidRPr="00A65E59" w:rsidRDefault="00ED7986" w:rsidP="00A10E45"/>
        </w:tc>
        <w:tc>
          <w:tcPr>
            <w:tcW w:w="1233" w:type="dxa"/>
          </w:tcPr>
          <w:p w14:paraId="00023600" w14:textId="77777777" w:rsidR="00ED7986" w:rsidRPr="00A65E59" w:rsidRDefault="00ED7986" w:rsidP="00A10E45"/>
        </w:tc>
        <w:tc>
          <w:tcPr>
            <w:tcW w:w="1233" w:type="dxa"/>
          </w:tcPr>
          <w:p w14:paraId="6FDE5CDD" w14:textId="77777777" w:rsidR="00ED7986" w:rsidRPr="00A65E59" w:rsidRDefault="00ED7986" w:rsidP="00A10E45"/>
        </w:tc>
        <w:tc>
          <w:tcPr>
            <w:tcW w:w="1233" w:type="dxa"/>
          </w:tcPr>
          <w:p w14:paraId="409D7356" w14:textId="77777777" w:rsidR="00ED7986" w:rsidRPr="00A65E59" w:rsidRDefault="00ED7986" w:rsidP="00A10E45"/>
        </w:tc>
        <w:tc>
          <w:tcPr>
            <w:tcW w:w="1233" w:type="dxa"/>
          </w:tcPr>
          <w:p w14:paraId="735E84FA" w14:textId="77777777" w:rsidR="00ED7986" w:rsidRPr="00A65E59" w:rsidRDefault="00ED7986" w:rsidP="00A10E45"/>
        </w:tc>
        <w:tc>
          <w:tcPr>
            <w:tcW w:w="1234" w:type="dxa"/>
          </w:tcPr>
          <w:p w14:paraId="0C2069C1" w14:textId="77777777" w:rsidR="00ED7986" w:rsidRPr="00A65E59" w:rsidRDefault="00ED7986" w:rsidP="00A10E45"/>
        </w:tc>
      </w:tr>
      <w:tr w:rsidR="00ED7986" w:rsidRPr="00A65E59" w14:paraId="3CFF4E49" w14:textId="77777777" w:rsidTr="00AE150B">
        <w:tc>
          <w:tcPr>
            <w:tcW w:w="1526" w:type="dxa"/>
          </w:tcPr>
          <w:p w14:paraId="6F1EBA2F" w14:textId="77777777" w:rsidR="00ED7986" w:rsidRDefault="00ED7986">
            <w:r w:rsidRPr="00A33E61">
              <w:t>…………………</w:t>
            </w:r>
          </w:p>
        </w:tc>
        <w:tc>
          <w:tcPr>
            <w:tcW w:w="1233" w:type="dxa"/>
          </w:tcPr>
          <w:p w14:paraId="08D9830E" w14:textId="77777777" w:rsidR="00ED7986" w:rsidRPr="00A65E59" w:rsidRDefault="00ED7986" w:rsidP="00A10E45"/>
        </w:tc>
        <w:tc>
          <w:tcPr>
            <w:tcW w:w="1233" w:type="dxa"/>
          </w:tcPr>
          <w:p w14:paraId="1B856BCE" w14:textId="77777777" w:rsidR="00ED7986" w:rsidRPr="00A65E59" w:rsidRDefault="00ED7986" w:rsidP="00A10E45"/>
        </w:tc>
        <w:tc>
          <w:tcPr>
            <w:tcW w:w="1233" w:type="dxa"/>
          </w:tcPr>
          <w:p w14:paraId="68858EC2" w14:textId="77777777" w:rsidR="00ED7986" w:rsidRPr="00A65E59" w:rsidRDefault="00ED7986" w:rsidP="00A10E45"/>
        </w:tc>
        <w:tc>
          <w:tcPr>
            <w:tcW w:w="1233" w:type="dxa"/>
          </w:tcPr>
          <w:p w14:paraId="66C288E8" w14:textId="77777777" w:rsidR="00ED7986" w:rsidRPr="00A65E59" w:rsidRDefault="00ED7986" w:rsidP="00A10E45"/>
        </w:tc>
        <w:tc>
          <w:tcPr>
            <w:tcW w:w="1234" w:type="dxa"/>
          </w:tcPr>
          <w:p w14:paraId="500B23B7" w14:textId="77777777" w:rsidR="00ED7986" w:rsidRPr="00A65E59" w:rsidRDefault="00ED7986" w:rsidP="00A10E45"/>
        </w:tc>
        <w:tc>
          <w:tcPr>
            <w:tcW w:w="1233" w:type="dxa"/>
          </w:tcPr>
          <w:p w14:paraId="566611D9" w14:textId="77777777" w:rsidR="00ED7986" w:rsidRPr="00A65E59" w:rsidRDefault="00ED7986" w:rsidP="00A10E45"/>
        </w:tc>
        <w:tc>
          <w:tcPr>
            <w:tcW w:w="1233" w:type="dxa"/>
          </w:tcPr>
          <w:p w14:paraId="24C7A107" w14:textId="77777777" w:rsidR="00ED7986" w:rsidRPr="00A65E59" w:rsidRDefault="00ED7986" w:rsidP="00A10E45"/>
        </w:tc>
        <w:tc>
          <w:tcPr>
            <w:tcW w:w="1233" w:type="dxa"/>
          </w:tcPr>
          <w:p w14:paraId="1979524D" w14:textId="77777777" w:rsidR="00ED7986" w:rsidRPr="00A65E59" w:rsidRDefault="00ED7986" w:rsidP="00A10E45"/>
        </w:tc>
        <w:tc>
          <w:tcPr>
            <w:tcW w:w="1233" w:type="dxa"/>
          </w:tcPr>
          <w:p w14:paraId="5E5715C2" w14:textId="77777777" w:rsidR="00ED7986" w:rsidRPr="00A65E59" w:rsidRDefault="00ED7986" w:rsidP="00A10E45"/>
        </w:tc>
        <w:tc>
          <w:tcPr>
            <w:tcW w:w="1234" w:type="dxa"/>
          </w:tcPr>
          <w:p w14:paraId="4DEA9FBF" w14:textId="77777777" w:rsidR="00ED7986" w:rsidRPr="00A65E59" w:rsidRDefault="00ED7986" w:rsidP="00A10E45"/>
        </w:tc>
      </w:tr>
      <w:tr w:rsidR="00ED7986" w:rsidRPr="00A65E59" w14:paraId="1E880D9B" w14:textId="77777777" w:rsidTr="00AE150B">
        <w:tc>
          <w:tcPr>
            <w:tcW w:w="1526" w:type="dxa"/>
          </w:tcPr>
          <w:p w14:paraId="296B0F94" w14:textId="77777777" w:rsidR="00ED7986" w:rsidRDefault="00ED7986">
            <w:r w:rsidRPr="00A33E61">
              <w:t>…………………</w:t>
            </w:r>
          </w:p>
        </w:tc>
        <w:tc>
          <w:tcPr>
            <w:tcW w:w="1233" w:type="dxa"/>
          </w:tcPr>
          <w:p w14:paraId="0B415811" w14:textId="77777777" w:rsidR="00ED7986" w:rsidRPr="00A65E59" w:rsidRDefault="00ED7986" w:rsidP="00A10E45"/>
        </w:tc>
        <w:tc>
          <w:tcPr>
            <w:tcW w:w="1233" w:type="dxa"/>
          </w:tcPr>
          <w:p w14:paraId="64DC3999" w14:textId="77777777" w:rsidR="00ED7986" w:rsidRPr="00A65E59" w:rsidRDefault="00ED7986" w:rsidP="00A10E45"/>
        </w:tc>
        <w:tc>
          <w:tcPr>
            <w:tcW w:w="1233" w:type="dxa"/>
          </w:tcPr>
          <w:p w14:paraId="6F9A8FFA" w14:textId="77777777" w:rsidR="00ED7986" w:rsidRPr="00A65E59" w:rsidRDefault="00ED7986" w:rsidP="00A10E45"/>
        </w:tc>
        <w:tc>
          <w:tcPr>
            <w:tcW w:w="1233" w:type="dxa"/>
          </w:tcPr>
          <w:p w14:paraId="17924B28" w14:textId="77777777" w:rsidR="00ED7986" w:rsidRPr="00A65E59" w:rsidRDefault="00ED7986" w:rsidP="00A10E45"/>
        </w:tc>
        <w:tc>
          <w:tcPr>
            <w:tcW w:w="1234" w:type="dxa"/>
          </w:tcPr>
          <w:p w14:paraId="6259EF35" w14:textId="77777777" w:rsidR="00ED7986" w:rsidRPr="00A65E59" w:rsidRDefault="00ED7986" w:rsidP="00A10E45"/>
        </w:tc>
        <w:tc>
          <w:tcPr>
            <w:tcW w:w="1233" w:type="dxa"/>
          </w:tcPr>
          <w:p w14:paraId="2F3AAE81" w14:textId="77777777" w:rsidR="00ED7986" w:rsidRPr="00A65E59" w:rsidRDefault="00ED7986" w:rsidP="00A10E45"/>
        </w:tc>
        <w:tc>
          <w:tcPr>
            <w:tcW w:w="1233" w:type="dxa"/>
          </w:tcPr>
          <w:p w14:paraId="79455411" w14:textId="77777777" w:rsidR="00ED7986" w:rsidRPr="00A65E59" w:rsidRDefault="00ED7986" w:rsidP="00A10E45"/>
        </w:tc>
        <w:tc>
          <w:tcPr>
            <w:tcW w:w="1233" w:type="dxa"/>
          </w:tcPr>
          <w:p w14:paraId="73B6FBC5" w14:textId="77777777" w:rsidR="00ED7986" w:rsidRPr="00A65E59" w:rsidRDefault="00ED7986" w:rsidP="00A10E45"/>
        </w:tc>
        <w:tc>
          <w:tcPr>
            <w:tcW w:w="1233" w:type="dxa"/>
          </w:tcPr>
          <w:p w14:paraId="4DE5AE79" w14:textId="77777777" w:rsidR="00ED7986" w:rsidRPr="00A65E59" w:rsidRDefault="00ED7986" w:rsidP="00A10E45"/>
        </w:tc>
        <w:tc>
          <w:tcPr>
            <w:tcW w:w="1234" w:type="dxa"/>
          </w:tcPr>
          <w:p w14:paraId="7F63462C" w14:textId="77777777" w:rsidR="00ED7986" w:rsidRPr="00A65E59" w:rsidRDefault="00ED7986" w:rsidP="00A10E45"/>
        </w:tc>
      </w:tr>
      <w:tr w:rsidR="00ED7986" w:rsidRPr="00A65E59" w14:paraId="16FF3BD2" w14:textId="77777777" w:rsidTr="00AE150B">
        <w:tc>
          <w:tcPr>
            <w:tcW w:w="1526" w:type="dxa"/>
          </w:tcPr>
          <w:p w14:paraId="647EC474" w14:textId="77777777" w:rsidR="00ED7986" w:rsidRDefault="00ED7986">
            <w:r w:rsidRPr="00A33E61">
              <w:t>…………………</w:t>
            </w:r>
          </w:p>
        </w:tc>
        <w:tc>
          <w:tcPr>
            <w:tcW w:w="1233" w:type="dxa"/>
          </w:tcPr>
          <w:p w14:paraId="6E438B7A" w14:textId="77777777" w:rsidR="00ED7986" w:rsidRPr="00A65E59" w:rsidRDefault="00ED7986" w:rsidP="00A10E45"/>
        </w:tc>
        <w:tc>
          <w:tcPr>
            <w:tcW w:w="1233" w:type="dxa"/>
          </w:tcPr>
          <w:p w14:paraId="304AB265" w14:textId="77777777" w:rsidR="00ED7986" w:rsidRPr="00A65E59" w:rsidRDefault="00ED7986" w:rsidP="00A10E45"/>
        </w:tc>
        <w:tc>
          <w:tcPr>
            <w:tcW w:w="1233" w:type="dxa"/>
          </w:tcPr>
          <w:p w14:paraId="3CAA95E6" w14:textId="77777777" w:rsidR="00ED7986" w:rsidRPr="00A65E59" w:rsidRDefault="00ED7986" w:rsidP="00A10E45"/>
        </w:tc>
        <w:tc>
          <w:tcPr>
            <w:tcW w:w="1233" w:type="dxa"/>
          </w:tcPr>
          <w:p w14:paraId="77455DC9" w14:textId="77777777" w:rsidR="00ED7986" w:rsidRPr="00A65E59" w:rsidRDefault="00ED7986" w:rsidP="00A10E45"/>
        </w:tc>
        <w:tc>
          <w:tcPr>
            <w:tcW w:w="1234" w:type="dxa"/>
          </w:tcPr>
          <w:p w14:paraId="3B2BE1EE" w14:textId="77777777" w:rsidR="00ED7986" w:rsidRPr="00A65E59" w:rsidRDefault="00ED7986" w:rsidP="00A10E45"/>
        </w:tc>
        <w:tc>
          <w:tcPr>
            <w:tcW w:w="1233" w:type="dxa"/>
          </w:tcPr>
          <w:p w14:paraId="1D872F52" w14:textId="77777777" w:rsidR="00ED7986" w:rsidRPr="00A65E59" w:rsidRDefault="00ED7986" w:rsidP="00A10E45"/>
        </w:tc>
        <w:tc>
          <w:tcPr>
            <w:tcW w:w="1233" w:type="dxa"/>
          </w:tcPr>
          <w:p w14:paraId="662F17AE" w14:textId="77777777" w:rsidR="00ED7986" w:rsidRPr="00A65E59" w:rsidRDefault="00ED7986" w:rsidP="00A10E45"/>
        </w:tc>
        <w:tc>
          <w:tcPr>
            <w:tcW w:w="1233" w:type="dxa"/>
          </w:tcPr>
          <w:p w14:paraId="37AC6593" w14:textId="77777777" w:rsidR="00ED7986" w:rsidRPr="00A65E59" w:rsidRDefault="00ED7986" w:rsidP="00A10E45"/>
        </w:tc>
        <w:tc>
          <w:tcPr>
            <w:tcW w:w="1233" w:type="dxa"/>
          </w:tcPr>
          <w:p w14:paraId="6BC17970" w14:textId="77777777" w:rsidR="00ED7986" w:rsidRPr="00A65E59" w:rsidRDefault="00ED7986" w:rsidP="00A10E45"/>
        </w:tc>
        <w:tc>
          <w:tcPr>
            <w:tcW w:w="1234" w:type="dxa"/>
          </w:tcPr>
          <w:p w14:paraId="785CB100" w14:textId="77777777" w:rsidR="00ED7986" w:rsidRPr="00A65E59" w:rsidRDefault="00ED7986" w:rsidP="00A10E45"/>
        </w:tc>
      </w:tr>
      <w:tr w:rsidR="00ED7986" w:rsidRPr="00A65E59" w14:paraId="66FFF303" w14:textId="77777777" w:rsidTr="00AE150B">
        <w:tc>
          <w:tcPr>
            <w:tcW w:w="1526" w:type="dxa"/>
          </w:tcPr>
          <w:p w14:paraId="58A6B3A4" w14:textId="77777777" w:rsidR="00ED7986" w:rsidRDefault="00ED7986">
            <w:r w:rsidRPr="00A33E61">
              <w:t>…………………</w:t>
            </w:r>
          </w:p>
        </w:tc>
        <w:tc>
          <w:tcPr>
            <w:tcW w:w="1233" w:type="dxa"/>
          </w:tcPr>
          <w:p w14:paraId="0E4677F1" w14:textId="77777777" w:rsidR="00ED7986" w:rsidRPr="00A65E59" w:rsidRDefault="00ED7986" w:rsidP="00A10E45"/>
        </w:tc>
        <w:tc>
          <w:tcPr>
            <w:tcW w:w="1233" w:type="dxa"/>
          </w:tcPr>
          <w:p w14:paraId="40741877" w14:textId="77777777" w:rsidR="00ED7986" w:rsidRPr="00A65E59" w:rsidRDefault="00ED7986" w:rsidP="00A10E45"/>
        </w:tc>
        <w:tc>
          <w:tcPr>
            <w:tcW w:w="1233" w:type="dxa"/>
          </w:tcPr>
          <w:p w14:paraId="40DB64BF" w14:textId="77777777" w:rsidR="00ED7986" w:rsidRPr="00A65E59" w:rsidRDefault="00ED7986" w:rsidP="00A10E45"/>
        </w:tc>
        <w:tc>
          <w:tcPr>
            <w:tcW w:w="1233" w:type="dxa"/>
          </w:tcPr>
          <w:p w14:paraId="3BB4D338" w14:textId="77777777" w:rsidR="00ED7986" w:rsidRPr="00A65E59" w:rsidRDefault="00ED7986" w:rsidP="00A10E45"/>
        </w:tc>
        <w:tc>
          <w:tcPr>
            <w:tcW w:w="1234" w:type="dxa"/>
          </w:tcPr>
          <w:p w14:paraId="2317F166" w14:textId="77777777" w:rsidR="00ED7986" w:rsidRPr="00A65E59" w:rsidRDefault="00ED7986" w:rsidP="00A10E45"/>
        </w:tc>
        <w:tc>
          <w:tcPr>
            <w:tcW w:w="1233" w:type="dxa"/>
          </w:tcPr>
          <w:p w14:paraId="689498AA" w14:textId="77777777" w:rsidR="00ED7986" w:rsidRPr="00A65E59" w:rsidRDefault="00ED7986" w:rsidP="00A10E45"/>
        </w:tc>
        <w:tc>
          <w:tcPr>
            <w:tcW w:w="1233" w:type="dxa"/>
          </w:tcPr>
          <w:p w14:paraId="27B19DF5" w14:textId="77777777" w:rsidR="00ED7986" w:rsidRPr="00A65E59" w:rsidRDefault="00ED7986" w:rsidP="00A10E45"/>
        </w:tc>
        <w:tc>
          <w:tcPr>
            <w:tcW w:w="1233" w:type="dxa"/>
          </w:tcPr>
          <w:p w14:paraId="64057E91" w14:textId="77777777" w:rsidR="00ED7986" w:rsidRPr="00A65E59" w:rsidRDefault="00ED7986" w:rsidP="00A10E45"/>
        </w:tc>
        <w:tc>
          <w:tcPr>
            <w:tcW w:w="1233" w:type="dxa"/>
          </w:tcPr>
          <w:p w14:paraId="41D57437" w14:textId="77777777" w:rsidR="00ED7986" w:rsidRPr="00A65E59" w:rsidRDefault="00ED7986" w:rsidP="00A10E45"/>
        </w:tc>
        <w:tc>
          <w:tcPr>
            <w:tcW w:w="1234" w:type="dxa"/>
          </w:tcPr>
          <w:p w14:paraId="34D83F44" w14:textId="77777777" w:rsidR="00ED7986" w:rsidRPr="00A65E59" w:rsidRDefault="00ED7986" w:rsidP="00A10E45"/>
        </w:tc>
      </w:tr>
    </w:tbl>
    <w:p w14:paraId="041A95BB" w14:textId="77777777" w:rsidR="00EA2CBC" w:rsidRDefault="00172E9B">
      <w:pPr>
        <w:spacing w:after="160"/>
      </w:pPr>
      <w:r>
        <w:t>Tabel 2: Samenvatting van de resultaten</w:t>
      </w:r>
      <w:r w:rsidR="007B0E9B">
        <w:t xml:space="preserve"> voor de solvabiliteitskapitaalvereisten (SKV)</w:t>
      </w:r>
    </w:p>
    <w:p w14:paraId="0AEEE008" w14:textId="77777777" w:rsidR="00172E9B" w:rsidRDefault="00172E9B">
      <w:pPr>
        <w:spacing w:after="160"/>
      </w:pPr>
    </w:p>
    <w:p w14:paraId="0915561F" w14:textId="77777777" w:rsidR="007B0E9B" w:rsidRDefault="00172E9B">
      <w:pPr>
        <w:spacing w:after="160"/>
      </w:pPr>
      <w:r>
        <w:t xml:space="preserve">NB: De </w:t>
      </w:r>
      <w:r w:rsidR="007B0E9B">
        <w:t>solvabiliteitskapitaalvereiste</w:t>
      </w:r>
      <w:r>
        <w:t xml:space="preserve"> voor </w:t>
      </w:r>
      <w:r w:rsidR="007B0E9B">
        <w:t>iedere</w:t>
      </w:r>
      <w:r>
        <w:t xml:space="preserve"> risico</w:t>
      </w:r>
      <w:r w:rsidR="00247BFE">
        <w:t>-ondermodule</w:t>
      </w:r>
      <w:r w:rsidR="007B0E9B">
        <w:t xml:space="preserve"> is vóór diversificatie tussen de andere risico-ondermodules, de totale solvabiliteitskapitaalvereiste is ná diversificatie tussen </w:t>
      </w:r>
      <w:r w:rsidR="00ED7986">
        <w:t xml:space="preserve">alle onderliggende </w:t>
      </w:r>
      <w:r w:rsidR="007B0E9B">
        <w:t>risicomodules.</w:t>
      </w:r>
      <w:r w:rsidR="00026FFD">
        <w:t xml:space="preserve"> De resultaten zijn gebaseerd op de meest actuele jaareindecijfers.</w:t>
      </w:r>
    </w:p>
    <w:p w14:paraId="1295941E" w14:textId="77777777" w:rsidR="007B0E9B" w:rsidRDefault="007B0E9B">
      <w:pPr>
        <w:spacing w:after="160"/>
      </w:pPr>
    </w:p>
    <w:p w14:paraId="0F6006DD" w14:textId="77777777" w:rsidR="007B0E9B" w:rsidRPr="007B0E9B" w:rsidRDefault="007B0E9B">
      <w:pPr>
        <w:spacing w:after="160"/>
        <w:rPr>
          <w:u w:val="single"/>
        </w:rPr>
      </w:pPr>
      <w:r w:rsidRPr="007B0E9B">
        <w:rPr>
          <w:u w:val="single"/>
        </w:rPr>
        <w:t>Legenda:</w:t>
      </w:r>
    </w:p>
    <w:p w14:paraId="71F3F618" w14:textId="77777777" w:rsidR="00A10E45" w:rsidRDefault="00A10E45" w:rsidP="00A10E45">
      <w:pPr>
        <w:pStyle w:val="Lijstalinea"/>
        <w:numPr>
          <w:ilvl w:val="0"/>
          <w:numId w:val="8"/>
        </w:numPr>
        <w:spacing w:after="160"/>
        <w:ind w:left="426" w:hanging="426"/>
      </w:pPr>
      <w:r>
        <w:t xml:space="preserve">= Afgekorte </w:t>
      </w:r>
      <w:r w:rsidR="00112BA6">
        <w:t xml:space="preserve">statutaire </w:t>
      </w:r>
      <w:r>
        <w:t>naam van de onderneming waarop de USP’s betrekking hebben.</w:t>
      </w:r>
    </w:p>
    <w:p w14:paraId="3734DE32" w14:textId="77777777" w:rsidR="00A10E45" w:rsidRDefault="00A10E45" w:rsidP="00A10E45">
      <w:pPr>
        <w:pStyle w:val="Lijstalinea"/>
        <w:numPr>
          <w:ilvl w:val="0"/>
          <w:numId w:val="8"/>
        </w:numPr>
        <w:spacing w:after="160"/>
        <w:ind w:left="426" w:hanging="426"/>
      </w:pPr>
      <w:r>
        <w:t>= Solvabiliteitskapitaalvereiste voor het premierisico op basis van de standaardformule (SF).</w:t>
      </w:r>
    </w:p>
    <w:p w14:paraId="023CF82A" w14:textId="77777777" w:rsidR="00A10E45" w:rsidRDefault="00A10E45" w:rsidP="00A10E45">
      <w:pPr>
        <w:pStyle w:val="Lijstalinea"/>
        <w:numPr>
          <w:ilvl w:val="0"/>
          <w:numId w:val="8"/>
        </w:numPr>
        <w:spacing w:after="160"/>
        <w:ind w:left="426" w:hanging="426"/>
      </w:pPr>
      <w:r>
        <w:t>= Solvabiliteitskapitaalvereiste voor het premierisico op basis van de ondernemingsspecifieke parameters (USP</w:t>
      </w:r>
      <w:r w:rsidR="005C721A">
        <w:t>’s</w:t>
      </w:r>
      <w:r>
        <w:t>).</w:t>
      </w:r>
    </w:p>
    <w:p w14:paraId="7809081F" w14:textId="77777777" w:rsidR="00A10E45" w:rsidRDefault="00A10E45" w:rsidP="00A10E45">
      <w:pPr>
        <w:pStyle w:val="Lijstalinea"/>
        <w:numPr>
          <w:ilvl w:val="0"/>
          <w:numId w:val="8"/>
        </w:numPr>
        <w:spacing w:after="160"/>
        <w:ind w:left="426" w:hanging="426"/>
      </w:pPr>
      <w:r>
        <w:t>= Solvabiliteitskapitaalvereiste voor het reserverisico op basis van de standaardformule.</w:t>
      </w:r>
    </w:p>
    <w:p w14:paraId="0D897531" w14:textId="77777777" w:rsidR="00A10E45" w:rsidRDefault="00A10E45" w:rsidP="00A10E45">
      <w:pPr>
        <w:pStyle w:val="Lijstalinea"/>
        <w:numPr>
          <w:ilvl w:val="0"/>
          <w:numId w:val="8"/>
        </w:numPr>
        <w:spacing w:after="160"/>
        <w:ind w:left="426" w:hanging="426"/>
      </w:pPr>
      <w:r>
        <w:t>= Solvabiliteitskapitaalvereiste voor het reserverisico op basis van de ondernemingsspecifieke parameters.</w:t>
      </w:r>
    </w:p>
    <w:p w14:paraId="6D61A0CE" w14:textId="77777777" w:rsidR="00A10E45" w:rsidRDefault="00A10E45" w:rsidP="00A10E45">
      <w:pPr>
        <w:pStyle w:val="Lijstalinea"/>
        <w:numPr>
          <w:ilvl w:val="0"/>
          <w:numId w:val="8"/>
        </w:numPr>
        <w:spacing w:after="160"/>
        <w:ind w:left="426" w:hanging="426"/>
      </w:pPr>
      <w:r>
        <w:t xml:space="preserve">= </w:t>
      </w:r>
      <w:r w:rsidR="00112BA6">
        <w:t>Solvabiliteitskapitaalvereiste voor het herzieningsrisico voor Leven op basis van de standaardformule</w:t>
      </w:r>
      <w:r>
        <w:t>.</w:t>
      </w:r>
    </w:p>
    <w:p w14:paraId="5562EE07" w14:textId="77777777" w:rsidR="00A10E45" w:rsidRDefault="00A10E45" w:rsidP="00A10E45">
      <w:pPr>
        <w:pStyle w:val="Lijstalinea"/>
        <w:numPr>
          <w:ilvl w:val="0"/>
          <w:numId w:val="8"/>
        </w:numPr>
        <w:spacing w:after="160"/>
        <w:ind w:left="426" w:hanging="426"/>
      </w:pPr>
      <w:r>
        <w:t>=</w:t>
      </w:r>
      <w:r w:rsidR="00112BA6" w:rsidRPr="00112BA6">
        <w:t xml:space="preserve"> </w:t>
      </w:r>
      <w:r w:rsidR="00112BA6">
        <w:t>Solvabiliteitskapitaalvereiste voor het herzieningsrisico voor Leven op basis van de ondernemingsspecifieke parameters</w:t>
      </w:r>
      <w:r>
        <w:t>.</w:t>
      </w:r>
    </w:p>
    <w:p w14:paraId="4F5271A9" w14:textId="77777777" w:rsidR="00A10E45" w:rsidRDefault="00A10E45" w:rsidP="00A10E45">
      <w:pPr>
        <w:pStyle w:val="Lijstalinea"/>
        <w:numPr>
          <w:ilvl w:val="0"/>
          <w:numId w:val="8"/>
        </w:numPr>
        <w:spacing w:after="160"/>
        <w:ind w:left="426" w:hanging="426"/>
      </w:pPr>
      <w:r>
        <w:t xml:space="preserve">= </w:t>
      </w:r>
      <w:r w:rsidR="00112BA6">
        <w:t>Solvabiliteitskapitaalvereiste voor het herzieningsrisico voor Ziekte op basis van de standaardformule</w:t>
      </w:r>
      <w:r>
        <w:t>.</w:t>
      </w:r>
    </w:p>
    <w:p w14:paraId="28DF488C" w14:textId="77777777" w:rsidR="00A10E45" w:rsidRDefault="00A10E45" w:rsidP="00A10E45">
      <w:pPr>
        <w:pStyle w:val="Lijstalinea"/>
        <w:numPr>
          <w:ilvl w:val="0"/>
          <w:numId w:val="8"/>
        </w:numPr>
        <w:spacing w:after="160"/>
        <w:ind w:left="426" w:hanging="426"/>
      </w:pPr>
      <w:r>
        <w:t xml:space="preserve">= </w:t>
      </w:r>
      <w:r w:rsidR="00112BA6">
        <w:t>Solvabiliteitskapitaalvereiste voor het herzieningsrisico voor Ziekte op basis van de ondernemingsspecifieke parameters.</w:t>
      </w:r>
    </w:p>
    <w:p w14:paraId="18EEE8C5" w14:textId="77777777" w:rsidR="00A10E45" w:rsidRDefault="00A10E45" w:rsidP="00A10E45">
      <w:pPr>
        <w:pStyle w:val="Lijstalinea"/>
        <w:numPr>
          <w:ilvl w:val="0"/>
          <w:numId w:val="8"/>
        </w:numPr>
        <w:spacing w:after="160"/>
        <w:ind w:left="426" w:hanging="426"/>
      </w:pPr>
      <w:r>
        <w:t xml:space="preserve">= </w:t>
      </w:r>
      <w:r w:rsidR="00112BA6">
        <w:t>Solvabiliteitskapitaalvereiste op basis van de standaardformule</w:t>
      </w:r>
      <w:r>
        <w:t>.</w:t>
      </w:r>
    </w:p>
    <w:p w14:paraId="2064931A" w14:textId="77777777" w:rsidR="00A10E45" w:rsidRDefault="00A10E45" w:rsidP="00A10E45">
      <w:pPr>
        <w:pStyle w:val="Lijstalinea"/>
        <w:numPr>
          <w:ilvl w:val="0"/>
          <w:numId w:val="8"/>
        </w:numPr>
        <w:spacing w:after="160"/>
        <w:ind w:left="426" w:hanging="426"/>
      </w:pPr>
      <w:r>
        <w:t>=</w:t>
      </w:r>
      <w:r w:rsidRPr="001F1C5D">
        <w:t xml:space="preserve"> </w:t>
      </w:r>
      <w:r w:rsidR="00112BA6">
        <w:t>Solvabiliteitskapitaalvereiste op basis van de ondernemingsspecifieke parameters.</w:t>
      </w:r>
    </w:p>
    <w:p w14:paraId="4D6C1580" w14:textId="77777777" w:rsidR="00A4607A" w:rsidRDefault="007B0E9B">
      <w:pPr>
        <w:spacing w:after="160"/>
      </w:pPr>
      <w:r>
        <w:t xml:space="preserve"> </w:t>
      </w:r>
    </w:p>
    <w:p w14:paraId="4681AD29" w14:textId="77777777" w:rsidR="00A4607A" w:rsidRDefault="00A4607A">
      <w:pPr>
        <w:spacing w:after="160"/>
      </w:pPr>
      <w:r>
        <w:br w:type="page"/>
      </w:r>
    </w:p>
    <w:tbl>
      <w:tblPr>
        <w:tblStyle w:val="Tabelraster"/>
        <w:tblpPr w:leftFromText="141" w:rightFromText="141" w:horzAnchor="margin" w:tblpY="615"/>
        <w:tblW w:w="14992" w:type="dxa"/>
        <w:tblLayout w:type="fixed"/>
        <w:tblLook w:val="04A0" w:firstRow="1" w:lastRow="0" w:firstColumn="1" w:lastColumn="0" w:noHBand="0" w:noVBand="1"/>
      </w:tblPr>
      <w:tblGrid>
        <w:gridCol w:w="1242"/>
        <w:gridCol w:w="709"/>
        <w:gridCol w:w="1003"/>
        <w:gridCol w:w="1003"/>
        <w:gridCol w:w="1003"/>
        <w:gridCol w:w="1003"/>
        <w:gridCol w:w="1003"/>
        <w:gridCol w:w="1003"/>
        <w:gridCol w:w="502"/>
        <w:gridCol w:w="502"/>
        <w:gridCol w:w="1003"/>
        <w:gridCol w:w="1003"/>
        <w:gridCol w:w="1003"/>
        <w:gridCol w:w="1003"/>
        <w:gridCol w:w="1003"/>
        <w:gridCol w:w="1004"/>
      </w:tblGrid>
      <w:tr w:rsidR="001962FF" w:rsidRPr="007C5373" w14:paraId="2BBC779F" w14:textId="77777777" w:rsidTr="001962FF">
        <w:tc>
          <w:tcPr>
            <w:tcW w:w="1951" w:type="dxa"/>
            <w:gridSpan w:val="2"/>
            <w:shd w:val="clear" w:color="auto" w:fill="D9D9D9" w:themeFill="background1" w:themeFillShade="D9"/>
          </w:tcPr>
          <w:p w14:paraId="77DCD9AE" w14:textId="77777777" w:rsidR="001962FF" w:rsidRPr="008D1B3F" w:rsidRDefault="001962FF" w:rsidP="001D0B72">
            <w:pPr>
              <w:jc w:val="right"/>
            </w:pPr>
            <w:r w:rsidRPr="008D1B3F">
              <w:lastRenderedPageBreak/>
              <w:t>Onderneming</w:t>
            </w:r>
          </w:p>
        </w:tc>
        <w:tc>
          <w:tcPr>
            <w:tcW w:w="6520" w:type="dxa"/>
            <w:gridSpan w:val="7"/>
          </w:tcPr>
          <w:p w14:paraId="6E97D59B" w14:textId="77777777" w:rsidR="001962FF" w:rsidRDefault="001962FF" w:rsidP="00ED7986"/>
        </w:tc>
        <w:tc>
          <w:tcPr>
            <w:tcW w:w="6521" w:type="dxa"/>
            <w:gridSpan w:val="7"/>
          </w:tcPr>
          <w:p w14:paraId="51EA7CA4" w14:textId="77777777" w:rsidR="001962FF" w:rsidRDefault="001962FF" w:rsidP="00ED7986">
            <w:r>
              <w:t>…………………</w:t>
            </w:r>
          </w:p>
        </w:tc>
      </w:tr>
      <w:tr w:rsidR="001962FF" w:rsidRPr="007C5373" w14:paraId="1A6D1534" w14:textId="77777777" w:rsidTr="001962FF">
        <w:tc>
          <w:tcPr>
            <w:tcW w:w="1242" w:type="dxa"/>
            <w:vMerge w:val="restart"/>
            <w:shd w:val="clear" w:color="auto" w:fill="D9D9D9" w:themeFill="background1" w:themeFillShade="D9"/>
          </w:tcPr>
          <w:p w14:paraId="7845D2A5" w14:textId="77777777" w:rsidR="001962FF" w:rsidRPr="008D1B3F" w:rsidRDefault="001962FF" w:rsidP="0037169D">
            <w:pPr>
              <w:jc w:val="center"/>
            </w:pPr>
            <w:r w:rsidRPr="008D1B3F">
              <w:t>Segment</w:t>
            </w:r>
          </w:p>
        </w:tc>
        <w:tc>
          <w:tcPr>
            <w:tcW w:w="709" w:type="dxa"/>
            <w:vMerge w:val="restart"/>
            <w:shd w:val="clear" w:color="auto" w:fill="D9D9D9" w:themeFill="background1" w:themeFillShade="D9"/>
          </w:tcPr>
          <w:p w14:paraId="29AEF383" w14:textId="77777777" w:rsidR="001962FF" w:rsidRPr="008D1B3F" w:rsidRDefault="001962FF" w:rsidP="0037169D">
            <w:pPr>
              <w:jc w:val="center"/>
            </w:pPr>
            <w:r w:rsidRPr="008D1B3F">
              <w:t>S/G</w:t>
            </w:r>
          </w:p>
        </w:tc>
        <w:tc>
          <w:tcPr>
            <w:tcW w:w="6520" w:type="dxa"/>
            <w:gridSpan w:val="7"/>
            <w:shd w:val="clear" w:color="auto" w:fill="D9D9D9" w:themeFill="background1" w:themeFillShade="D9"/>
          </w:tcPr>
          <w:p w14:paraId="37C0ADE6" w14:textId="77777777" w:rsidR="001962FF" w:rsidRPr="008D1B3F" w:rsidRDefault="001962FF" w:rsidP="00073B4D">
            <w:pPr>
              <w:jc w:val="center"/>
            </w:pPr>
          </w:p>
        </w:tc>
        <w:tc>
          <w:tcPr>
            <w:tcW w:w="6521" w:type="dxa"/>
            <w:gridSpan w:val="7"/>
            <w:shd w:val="clear" w:color="auto" w:fill="D9D9D9" w:themeFill="background1" w:themeFillShade="D9"/>
          </w:tcPr>
          <w:p w14:paraId="75DC2B11" w14:textId="77777777" w:rsidR="001962FF" w:rsidRPr="008D1B3F" w:rsidRDefault="001962FF" w:rsidP="00073B4D">
            <w:pPr>
              <w:jc w:val="center"/>
            </w:pPr>
            <w:r w:rsidRPr="008D1B3F">
              <w:t xml:space="preserve">Ondernemingsspecifieke parameters (USP’s) </w:t>
            </w:r>
          </w:p>
        </w:tc>
      </w:tr>
      <w:tr w:rsidR="001962FF" w:rsidRPr="00A65E59" w14:paraId="4833A8B4" w14:textId="77777777" w:rsidTr="001962FF">
        <w:tc>
          <w:tcPr>
            <w:tcW w:w="1242" w:type="dxa"/>
            <w:vMerge/>
            <w:shd w:val="clear" w:color="auto" w:fill="D9D9D9" w:themeFill="background1" w:themeFillShade="D9"/>
          </w:tcPr>
          <w:p w14:paraId="65D32043" w14:textId="77777777" w:rsidR="001962FF" w:rsidRPr="008D1B3F" w:rsidRDefault="001962FF" w:rsidP="00D65CE4"/>
        </w:tc>
        <w:tc>
          <w:tcPr>
            <w:tcW w:w="709" w:type="dxa"/>
            <w:vMerge/>
            <w:shd w:val="clear" w:color="auto" w:fill="D9D9D9" w:themeFill="background1" w:themeFillShade="D9"/>
          </w:tcPr>
          <w:p w14:paraId="6F89A944" w14:textId="77777777" w:rsidR="001962FF" w:rsidRPr="008D1B3F" w:rsidRDefault="001962FF" w:rsidP="00D65CE4"/>
        </w:tc>
        <w:tc>
          <w:tcPr>
            <w:tcW w:w="1003" w:type="dxa"/>
            <w:shd w:val="clear" w:color="auto" w:fill="D9D9D9" w:themeFill="background1" w:themeFillShade="D9"/>
          </w:tcPr>
          <w:p w14:paraId="0F2F8A5F" w14:textId="77777777" w:rsidR="001962FF" w:rsidRPr="008D1B3F" w:rsidRDefault="001962FF" w:rsidP="00B50097">
            <w:pPr>
              <w:jc w:val="center"/>
              <w:rPr>
                <w:rFonts w:eastAsiaTheme="minorEastAsia"/>
              </w:rPr>
            </w:pPr>
            <m:oMath>
              <m:r>
                <w:rPr>
                  <w:rFonts w:ascii="Cambria Math" w:hAnsi="Cambria Math"/>
                </w:rPr>
                <m:t>σ</m:t>
              </m:r>
            </m:oMath>
            <w:r w:rsidRPr="008D1B3F">
              <w:rPr>
                <w:rFonts w:eastAsiaTheme="minorEastAsia"/>
              </w:rPr>
              <w:t xml:space="preserve"> </w:t>
            </w:r>
          </w:p>
          <w:p w14:paraId="2DDC0AF2" w14:textId="77777777" w:rsidR="001962FF" w:rsidRPr="008D1B3F" w:rsidRDefault="001962FF" w:rsidP="00B50097">
            <w:pPr>
              <w:jc w:val="center"/>
            </w:pPr>
            <w:r w:rsidRPr="008D1B3F">
              <w:rPr>
                <w:rFonts w:eastAsiaTheme="minorEastAsia"/>
              </w:rPr>
              <w:t>PR</w:t>
            </w:r>
          </w:p>
          <w:p w14:paraId="6D9CB4BC" w14:textId="77777777" w:rsidR="001962FF" w:rsidRPr="008D1B3F" w:rsidRDefault="001962FF" w:rsidP="00E17011">
            <w:pPr>
              <w:jc w:val="center"/>
            </w:pPr>
          </w:p>
        </w:tc>
        <w:tc>
          <w:tcPr>
            <w:tcW w:w="1003" w:type="dxa"/>
            <w:shd w:val="clear" w:color="auto" w:fill="D9D9D9" w:themeFill="background1" w:themeFillShade="D9"/>
          </w:tcPr>
          <w:p w14:paraId="2FCE93CC" w14:textId="77777777" w:rsidR="001962FF" w:rsidRDefault="001962FF" w:rsidP="00E17011">
            <w:pPr>
              <w:jc w:val="center"/>
            </w:pPr>
            <w:r>
              <w:t>Bruto</w:t>
            </w:r>
          </w:p>
          <w:p w14:paraId="2308CA8F" w14:textId="77777777" w:rsidR="001962FF" w:rsidRDefault="001962FF" w:rsidP="00E17011">
            <w:pPr>
              <w:jc w:val="center"/>
            </w:pPr>
            <w:r>
              <w:t>PR</w:t>
            </w:r>
          </w:p>
          <w:p w14:paraId="234F9470" w14:textId="77777777" w:rsidR="001962FF" w:rsidRPr="008D1B3F" w:rsidRDefault="001962FF" w:rsidP="00E17011">
            <w:pPr>
              <w:jc w:val="center"/>
            </w:pPr>
            <w:r>
              <w:t>Ja/Nee</w:t>
            </w:r>
          </w:p>
        </w:tc>
        <w:tc>
          <w:tcPr>
            <w:tcW w:w="1003" w:type="dxa"/>
            <w:shd w:val="clear" w:color="auto" w:fill="D9D9D9" w:themeFill="background1" w:themeFillShade="D9"/>
          </w:tcPr>
          <w:p w14:paraId="3EFE40EA" w14:textId="77777777" w:rsidR="001962FF" w:rsidRPr="008D1B3F" w:rsidRDefault="001962FF" w:rsidP="00E17011">
            <w:pPr>
              <w:jc w:val="center"/>
            </w:pPr>
            <w:r w:rsidRPr="008D1B3F">
              <w:t>TD</w:t>
            </w:r>
          </w:p>
          <w:p w14:paraId="3B0D1BA3" w14:textId="77777777" w:rsidR="001962FF" w:rsidRPr="008D1B3F" w:rsidRDefault="001962FF" w:rsidP="00E17011">
            <w:pPr>
              <w:jc w:val="center"/>
            </w:pPr>
            <w:r w:rsidRPr="008D1B3F">
              <w:t>PR</w:t>
            </w:r>
          </w:p>
        </w:tc>
        <w:tc>
          <w:tcPr>
            <w:tcW w:w="1003" w:type="dxa"/>
            <w:shd w:val="clear" w:color="auto" w:fill="D9D9D9" w:themeFill="background1" w:themeFillShade="D9"/>
          </w:tcPr>
          <w:p w14:paraId="00EA12C3" w14:textId="77777777" w:rsidR="001962FF" w:rsidRPr="008D1B3F" w:rsidRDefault="001962FF" w:rsidP="00B50097">
            <w:pPr>
              <w:jc w:val="center"/>
              <w:rPr>
                <w:rFonts w:ascii="Cambria Math" w:hAnsi="Cambria Math"/>
              </w:rPr>
            </w:pPr>
            <w:r w:rsidRPr="008D1B3F">
              <w:rPr>
                <w:rFonts w:ascii="Cambria Math" w:hAnsi="Cambria Math"/>
              </w:rPr>
              <w:t>GWF</w:t>
            </w:r>
          </w:p>
          <w:p w14:paraId="2EDE6E73" w14:textId="77777777" w:rsidR="001962FF" w:rsidRPr="008D1B3F" w:rsidRDefault="001962FF" w:rsidP="00B50097">
            <w:pPr>
              <w:jc w:val="center"/>
              <w:rPr>
                <w:rFonts w:ascii="Cambria Math" w:hAnsi="Cambria Math"/>
              </w:rPr>
            </w:pPr>
            <w:r w:rsidRPr="008D1B3F">
              <w:rPr>
                <w:rFonts w:ascii="Cambria Math" w:hAnsi="Cambria Math"/>
              </w:rPr>
              <w:t>PR</w:t>
            </w:r>
          </w:p>
        </w:tc>
        <w:tc>
          <w:tcPr>
            <w:tcW w:w="1003" w:type="dxa"/>
            <w:shd w:val="clear" w:color="auto" w:fill="D9D9D9" w:themeFill="background1" w:themeFillShade="D9"/>
          </w:tcPr>
          <w:p w14:paraId="264000AE" w14:textId="77777777" w:rsidR="001962FF" w:rsidRPr="008D1B3F" w:rsidRDefault="001962FF" w:rsidP="00B50097">
            <w:pPr>
              <w:jc w:val="center"/>
              <w:rPr>
                <w:rFonts w:ascii="Cambria Math" w:hAnsi="Cambria Math"/>
              </w:rPr>
            </w:pPr>
            <w:r w:rsidRPr="008D1B3F">
              <w:rPr>
                <w:rFonts w:ascii="Cambria Math" w:hAnsi="Cambria Math"/>
              </w:rPr>
              <w:t xml:space="preserve">σ </w:t>
            </w:r>
          </w:p>
          <w:p w14:paraId="0066DC75" w14:textId="77777777" w:rsidR="001962FF" w:rsidRPr="008D1B3F" w:rsidRDefault="001962FF" w:rsidP="00B50097">
            <w:pPr>
              <w:jc w:val="center"/>
            </w:pPr>
            <w:r w:rsidRPr="008D1B3F">
              <w:rPr>
                <w:rFonts w:ascii="Cambria Math" w:hAnsi="Cambria Math"/>
              </w:rPr>
              <w:t>RR</w:t>
            </w:r>
          </w:p>
          <w:p w14:paraId="05242A0B" w14:textId="77777777" w:rsidR="001962FF" w:rsidRPr="008D1B3F" w:rsidRDefault="001962FF" w:rsidP="00E17011">
            <w:pPr>
              <w:jc w:val="center"/>
            </w:pPr>
            <w:r w:rsidRPr="008D1B3F">
              <w:t>Methode 1</w:t>
            </w:r>
          </w:p>
        </w:tc>
        <w:tc>
          <w:tcPr>
            <w:tcW w:w="1003" w:type="dxa"/>
            <w:shd w:val="clear" w:color="auto" w:fill="D9D9D9" w:themeFill="background1" w:themeFillShade="D9"/>
          </w:tcPr>
          <w:p w14:paraId="576DA64D" w14:textId="77777777" w:rsidR="001962FF" w:rsidRPr="008D1B3F" w:rsidRDefault="001962FF" w:rsidP="00B50097">
            <w:pPr>
              <w:jc w:val="center"/>
            </w:pPr>
            <w:r w:rsidRPr="008D1B3F">
              <w:t>TD</w:t>
            </w:r>
          </w:p>
          <w:p w14:paraId="2491AE51" w14:textId="77777777" w:rsidR="001962FF" w:rsidRPr="008D1B3F" w:rsidRDefault="001962FF" w:rsidP="00B50097">
            <w:pPr>
              <w:jc w:val="center"/>
            </w:pPr>
            <w:r w:rsidRPr="008D1B3F">
              <w:t>RR</w:t>
            </w:r>
          </w:p>
          <w:p w14:paraId="03D91646" w14:textId="77777777" w:rsidR="001962FF" w:rsidRPr="008D1B3F" w:rsidRDefault="001962FF" w:rsidP="00B50097">
            <w:pPr>
              <w:jc w:val="center"/>
            </w:pPr>
            <w:r w:rsidRPr="008D1B3F">
              <w:t>Methode</w:t>
            </w:r>
          </w:p>
          <w:p w14:paraId="3A381B6D" w14:textId="77777777" w:rsidR="001962FF" w:rsidRPr="008D1B3F" w:rsidRDefault="001962FF" w:rsidP="00B50097">
            <w:pPr>
              <w:jc w:val="center"/>
            </w:pPr>
            <w:r w:rsidRPr="008D1B3F">
              <w:t>1</w:t>
            </w:r>
          </w:p>
        </w:tc>
        <w:tc>
          <w:tcPr>
            <w:tcW w:w="1004" w:type="dxa"/>
            <w:gridSpan w:val="2"/>
            <w:shd w:val="clear" w:color="auto" w:fill="D9D9D9" w:themeFill="background1" w:themeFillShade="D9"/>
          </w:tcPr>
          <w:p w14:paraId="1580ED95" w14:textId="77777777" w:rsidR="001962FF" w:rsidRPr="008D1B3F" w:rsidRDefault="001962FF" w:rsidP="00B50097">
            <w:pPr>
              <w:jc w:val="center"/>
              <w:rPr>
                <w:rFonts w:ascii="Cambria Math" w:hAnsi="Cambria Math"/>
              </w:rPr>
            </w:pPr>
            <w:r w:rsidRPr="008D1B3F">
              <w:rPr>
                <w:rFonts w:ascii="Cambria Math" w:hAnsi="Cambria Math"/>
              </w:rPr>
              <w:t>GWF</w:t>
            </w:r>
          </w:p>
          <w:p w14:paraId="0E271D76" w14:textId="77777777" w:rsidR="001962FF" w:rsidRPr="008D1B3F" w:rsidRDefault="001962FF" w:rsidP="00B50097">
            <w:pPr>
              <w:jc w:val="center"/>
              <w:rPr>
                <w:rFonts w:ascii="Cambria Math" w:hAnsi="Cambria Math"/>
              </w:rPr>
            </w:pPr>
            <w:r w:rsidRPr="008D1B3F">
              <w:rPr>
                <w:rFonts w:ascii="Cambria Math" w:hAnsi="Cambria Math"/>
              </w:rPr>
              <w:t>RR</w:t>
            </w:r>
          </w:p>
          <w:p w14:paraId="0DA1F16A" w14:textId="77777777" w:rsidR="001962FF" w:rsidRPr="008D1B3F" w:rsidRDefault="001962FF" w:rsidP="00B50097">
            <w:pPr>
              <w:jc w:val="center"/>
              <w:rPr>
                <w:rFonts w:ascii="Cambria Math" w:hAnsi="Cambria Math"/>
              </w:rPr>
            </w:pPr>
            <w:r w:rsidRPr="008D1B3F">
              <w:rPr>
                <w:rFonts w:ascii="Cambria Math" w:hAnsi="Cambria Math"/>
              </w:rPr>
              <w:t>Methode</w:t>
            </w:r>
          </w:p>
          <w:p w14:paraId="18B7362B" w14:textId="77777777" w:rsidR="001962FF" w:rsidRPr="008D1B3F" w:rsidRDefault="001962FF" w:rsidP="00B50097">
            <w:pPr>
              <w:jc w:val="center"/>
              <w:rPr>
                <w:rFonts w:ascii="Cambria Math" w:hAnsi="Cambria Math"/>
              </w:rPr>
            </w:pPr>
            <w:r w:rsidRPr="008D1B3F">
              <w:rPr>
                <w:rFonts w:ascii="Cambria Math" w:hAnsi="Cambria Math"/>
              </w:rPr>
              <w:t>1</w:t>
            </w:r>
          </w:p>
        </w:tc>
        <w:tc>
          <w:tcPr>
            <w:tcW w:w="1003" w:type="dxa"/>
            <w:shd w:val="clear" w:color="auto" w:fill="D9D9D9" w:themeFill="background1" w:themeFillShade="D9"/>
          </w:tcPr>
          <w:p w14:paraId="47A5CE1C" w14:textId="77777777" w:rsidR="001962FF" w:rsidRPr="008D1B3F" w:rsidRDefault="001962FF" w:rsidP="00B50097">
            <w:pPr>
              <w:jc w:val="center"/>
              <w:rPr>
                <w:rFonts w:ascii="Cambria Math" w:hAnsi="Cambria Math"/>
              </w:rPr>
            </w:pPr>
            <w:r w:rsidRPr="008D1B3F">
              <w:rPr>
                <w:rFonts w:ascii="Cambria Math" w:hAnsi="Cambria Math"/>
              </w:rPr>
              <w:t xml:space="preserve">σ </w:t>
            </w:r>
          </w:p>
          <w:p w14:paraId="3EE0F4BE" w14:textId="77777777" w:rsidR="001962FF" w:rsidRPr="008D1B3F" w:rsidRDefault="001962FF" w:rsidP="00B50097">
            <w:pPr>
              <w:jc w:val="center"/>
            </w:pPr>
            <w:r w:rsidRPr="008D1B3F">
              <w:rPr>
                <w:rFonts w:ascii="Cambria Math" w:hAnsi="Cambria Math"/>
              </w:rPr>
              <w:t>RR</w:t>
            </w:r>
          </w:p>
          <w:p w14:paraId="5719FE6E" w14:textId="77777777" w:rsidR="001962FF" w:rsidRPr="008D1B3F" w:rsidRDefault="001962FF" w:rsidP="00B50097">
            <w:pPr>
              <w:jc w:val="center"/>
            </w:pPr>
            <w:r w:rsidRPr="008D1B3F">
              <w:t>Methode 2</w:t>
            </w:r>
          </w:p>
        </w:tc>
        <w:tc>
          <w:tcPr>
            <w:tcW w:w="1003" w:type="dxa"/>
            <w:shd w:val="clear" w:color="auto" w:fill="D9D9D9" w:themeFill="background1" w:themeFillShade="D9"/>
          </w:tcPr>
          <w:p w14:paraId="1B42A0E6" w14:textId="77777777" w:rsidR="001962FF" w:rsidRPr="008D1B3F" w:rsidRDefault="001962FF" w:rsidP="00B50097">
            <w:pPr>
              <w:jc w:val="center"/>
            </w:pPr>
            <w:r w:rsidRPr="008D1B3F">
              <w:t>TD</w:t>
            </w:r>
          </w:p>
          <w:p w14:paraId="66235059" w14:textId="77777777" w:rsidR="001962FF" w:rsidRPr="008D1B3F" w:rsidRDefault="001962FF" w:rsidP="00B50097">
            <w:pPr>
              <w:jc w:val="center"/>
            </w:pPr>
            <w:r w:rsidRPr="008D1B3F">
              <w:t>RR</w:t>
            </w:r>
          </w:p>
          <w:p w14:paraId="73CE5A65" w14:textId="77777777" w:rsidR="001962FF" w:rsidRPr="008D1B3F" w:rsidRDefault="001962FF" w:rsidP="00B50097">
            <w:pPr>
              <w:jc w:val="center"/>
            </w:pPr>
            <w:r w:rsidRPr="008D1B3F">
              <w:t>Methode</w:t>
            </w:r>
          </w:p>
          <w:p w14:paraId="4E6EBC64" w14:textId="77777777" w:rsidR="001962FF" w:rsidRPr="008D1B3F" w:rsidRDefault="001962FF" w:rsidP="00B50097">
            <w:pPr>
              <w:jc w:val="center"/>
            </w:pPr>
            <w:r w:rsidRPr="008D1B3F">
              <w:t>2</w:t>
            </w:r>
          </w:p>
        </w:tc>
        <w:tc>
          <w:tcPr>
            <w:tcW w:w="1003" w:type="dxa"/>
            <w:shd w:val="clear" w:color="auto" w:fill="D9D9D9" w:themeFill="background1" w:themeFillShade="D9"/>
          </w:tcPr>
          <w:p w14:paraId="093E3128" w14:textId="77777777" w:rsidR="001962FF" w:rsidRPr="008D1B3F" w:rsidRDefault="001962FF" w:rsidP="00B50097">
            <w:pPr>
              <w:jc w:val="center"/>
            </w:pPr>
            <w:r w:rsidRPr="008D1B3F">
              <w:t>GWF</w:t>
            </w:r>
          </w:p>
          <w:p w14:paraId="31F0836E" w14:textId="77777777" w:rsidR="001962FF" w:rsidRPr="008D1B3F" w:rsidRDefault="001962FF" w:rsidP="00B50097">
            <w:pPr>
              <w:jc w:val="center"/>
            </w:pPr>
            <w:r w:rsidRPr="008D1B3F">
              <w:t>RR</w:t>
            </w:r>
          </w:p>
          <w:p w14:paraId="72EED9C4" w14:textId="77777777" w:rsidR="001962FF" w:rsidRPr="008D1B3F" w:rsidRDefault="001962FF" w:rsidP="00B50097">
            <w:pPr>
              <w:jc w:val="center"/>
            </w:pPr>
            <w:r w:rsidRPr="008D1B3F">
              <w:t>Methode</w:t>
            </w:r>
          </w:p>
          <w:p w14:paraId="502526FE" w14:textId="77777777" w:rsidR="001962FF" w:rsidRPr="008D1B3F" w:rsidRDefault="001962FF" w:rsidP="00B50097">
            <w:pPr>
              <w:jc w:val="center"/>
            </w:pPr>
            <w:r w:rsidRPr="008D1B3F">
              <w:t>2</w:t>
            </w:r>
          </w:p>
        </w:tc>
        <w:tc>
          <w:tcPr>
            <w:tcW w:w="1003" w:type="dxa"/>
            <w:shd w:val="clear" w:color="auto" w:fill="D9D9D9" w:themeFill="background1" w:themeFillShade="D9"/>
          </w:tcPr>
          <w:p w14:paraId="3C55C29A" w14:textId="77777777" w:rsidR="001962FF" w:rsidRPr="008D1B3F" w:rsidRDefault="001962FF" w:rsidP="00B50097">
            <w:pPr>
              <w:jc w:val="center"/>
            </w:pPr>
            <w:r w:rsidRPr="008D1B3F">
              <w:t>CF</w:t>
            </w:r>
          </w:p>
          <w:p w14:paraId="4117701A" w14:textId="77777777" w:rsidR="001962FF" w:rsidRPr="008D1B3F" w:rsidRDefault="001962FF" w:rsidP="00B50097">
            <w:pPr>
              <w:jc w:val="center"/>
            </w:pPr>
            <w:r w:rsidRPr="008D1B3F">
              <w:t>NP-Her</w:t>
            </w:r>
          </w:p>
        </w:tc>
        <w:tc>
          <w:tcPr>
            <w:tcW w:w="1003" w:type="dxa"/>
            <w:shd w:val="clear" w:color="auto" w:fill="D9D9D9" w:themeFill="background1" w:themeFillShade="D9"/>
          </w:tcPr>
          <w:p w14:paraId="3B346D56" w14:textId="77777777" w:rsidR="001962FF" w:rsidRPr="008D1B3F" w:rsidRDefault="001962FF" w:rsidP="00B50097">
            <w:pPr>
              <w:jc w:val="center"/>
            </w:pPr>
            <w:r w:rsidRPr="008D1B3F">
              <w:t>TD</w:t>
            </w:r>
          </w:p>
          <w:p w14:paraId="6553588D" w14:textId="77777777" w:rsidR="001962FF" w:rsidRPr="008D1B3F" w:rsidRDefault="001962FF" w:rsidP="00B50097">
            <w:pPr>
              <w:jc w:val="center"/>
            </w:pPr>
            <w:r w:rsidRPr="008D1B3F">
              <w:t>NP-Her</w:t>
            </w:r>
          </w:p>
        </w:tc>
        <w:tc>
          <w:tcPr>
            <w:tcW w:w="1004" w:type="dxa"/>
            <w:shd w:val="clear" w:color="auto" w:fill="D9D9D9" w:themeFill="background1" w:themeFillShade="D9"/>
          </w:tcPr>
          <w:p w14:paraId="49791108" w14:textId="77777777" w:rsidR="001962FF" w:rsidRPr="008D1B3F" w:rsidRDefault="001962FF" w:rsidP="00B50097">
            <w:pPr>
              <w:jc w:val="center"/>
            </w:pPr>
            <w:r w:rsidRPr="008D1B3F">
              <w:t>GWF</w:t>
            </w:r>
          </w:p>
          <w:p w14:paraId="448F4AC1" w14:textId="77777777" w:rsidR="001962FF" w:rsidRPr="008D1B3F" w:rsidRDefault="001962FF" w:rsidP="00B50097">
            <w:pPr>
              <w:jc w:val="center"/>
            </w:pPr>
            <w:r w:rsidRPr="008D1B3F">
              <w:t>NP-Her</w:t>
            </w:r>
          </w:p>
        </w:tc>
      </w:tr>
      <w:tr w:rsidR="001962FF" w:rsidRPr="00A65E59" w14:paraId="368C879B" w14:textId="77777777" w:rsidTr="001962FF">
        <w:tc>
          <w:tcPr>
            <w:tcW w:w="1242" w:type="dxa"/>
            <w:shd w:val="clear" w:color="auto" w:fill="D9D9D9" w:themeFill="background1" w:themeFillShade="D9"/>
          </w:tcPr>
          <w:p w14:paraId="00DBCC06" w14:textId="77777777" w:rsidR="001962FF" w:rsidRPr="008D1B3F" w:rsidRDefault="001962FF" w:rsidP="001962FF">
            <w:pPr>
              <w:jc w:val="center"/>
            </w:pPr>
            <w:r w:rsidRPr="008D1B3F">
              <w:t>(1)</w:t>
            </w:r>
          </w:p>
        </w:tc>
        <w:tc>
          <w:tcPr>
            <w:tcW w:w="709" w:type="dxa"/>
            <w:shd w:val="clear" w:color="auto" w:fill="D9D9D9" w:themeFill="background1" w:themeFillShade="D9"/>
          </w:tcPr>
          <w:p w14:paraId="0B2EB25D" w14:textId="77777777" w:rsidR="001962FF" w:rsidRPr="008D1B3F" w:rsidRDefault="001962FF" w:rsidP="001962FF">
            <w:pPr>
              <w:jc w:val="center"/>
            </w:pPr>
            <w:r w:rsidRPr="008D1B3F">
              <w:t>(2)</w:t>
            </w:r>
          </w:p>
        </w:tc>
        <w:tc>
          <w:tcPr>
            <w:tcW w:w="1003" w:type="dxa"/>
            <w:shd w:val="clear" w:color="auto" w:fill="D9D9D9" w:themeFill="background1" w:themeFillShade="D9"/>
          </w:tcPr>
          <w:p w14:paraId="197D4566" w14:textId="77777777" w:rsidR="001962FF" w:rsidRPr="008D1B3F" w:rsidRDefault="001962FF" w:rsidP="001962FF">
            <w:pPr>
              <w:jc w:val="center"/>
            </w:pPr>
            <w:r w:rsidRPr="008D1B3F">
              <w:t>(3)</w:t>
            </w:r>
          </w:p>
        </w:tc>
        <w:tc>
          <w:tcPr>
            <w:tcW w:w="1003" w:type="dxa"/>
            <w:shd w:val="clear" w:color="auto" w:fill="D9D9D9" w:themeFill="background1" w:themeFillShade="D9"/>
          </w:tcPr>
          <w:p w14:paraId="75DC0E17" w14:textId="77777777" w:rsidR="001962FF" w:rsidRPr="008D1B3F" w:rsidRDefault="001962FF" w:rsidP="001962FF">
            <w:pPr>
              <w:jc w:val="center"/>
            </w:pPr>
            <w:r w:rsidRPr="008D1B3F">
              <w:t>(4)</w:t>
            </w:r>
          </w:p>
        </w:tc>
        <w:tc>
          <w:tcPr>
            <w:tcW w:w="1003" w:type="dxa"/>
            <w:shd w:val="clear" w:color="auto" w:fill="D9D9D9" w:themeFill="background1" w:themeFillShade="D9"/>
          </w:tcPr>
          <w:p w14:paraId="16157B1C" w14:textId="77777777" w:rsidR="001962FF" w:rsidRPr="008D1B3F" w:rsidRDefault="001962FF" w:rsidP="001962FF">
            <w:pPr>
              <w:jc w:val="center"/>
            </w:pPr>
            <w:r w:rsidRPr="008D1B3F">
              <w:t>(5)</w:t>
            </w:r>
          </w:p>
        </w:tc>
        <w:tc>
          <w:tcPr>
            <w:tcW w:w="1003" w:type="dxa"/>
            <w:shd w:val="clear" w:color="auto" w:fill="D9D9D9" w:themeFill="background1" w:themeFillShade="D9"/>
          </w:tcPr>
          <w:p w14:paraId="5120AEDF" w14:textId="77777777" w:rsidR="001962FF" w:rsidRPr="008D1B3F" w:rsidRDefault="001962FF" w:rsidP="001962FF">
            <w:pPr>
              <w:jc w:val="center"/>
            </w:pPr>
            <w:r w:rsidRPr="008D1B3F">
              <w:t>(6)</w:t>
            </w:r>
          </w:p>
        </w:tc>
        <w:tc>
          <w:tcPr>
            <w:tcW w:w="1003" w:type="dxa"/>
            <w:shd w:val="clear" w:color="auto" w:fill="D9D9D9" w:themeFill="background1" w:themeFillShade="D9"/>
          </w:tcPr>
          <w:p w14:paraId="6DE188B6" w14:textId="77777777" w:rsidR="001962FF" w:rsidRPr="008D1B3F" w:rsidRDefault="001962FF" w:rsidP="001962FF">
            <w:pPr>
              <w:jc w:val="center"/>
            </w:pPr>
            <w:r w:rsidRPr="008D1B3F">
              <w:t>(7)</w:t>
            </w:r>
          </w:p>
        </w:tc>
        <w:tc>
          <w:tcPr>
            <w:tcW w:w="1003" w:type="dxa"/>
            <w:shd w:val="clear" w:color="auto" w:fill="D9D9D9" w:themeFill="background1" w:themeFillShade="D9"/>
          </w:tcPr>
          <w:p w14:paraId="004696F2" w14:textId="77777777" w:rsidR="001962FF" w:rsidRPr="008D1B3F" w:rsidRDefault="001962FF" w:rsidP="001962FF">
            <w:pPr>
              <w:jc w:val="center"/>
            </w:pPr>
            <w:r w:rsidRPr="008D1B3F">
              <w:t>(8)</w:t>
            </w:r>
          </w:p>
        </w:tc>
        <w:tc>
          <w:tcPr>
            <w:tcW w:w="1004" w:type="dxa"/>
            <w:gridSpan w:val="2"/>
            <w:shd w:val="clear" w:color="auto" w:fill="D9D9D9" w:themeFill="background1" w:themeFillShade="D9"/>
          </w:tcPr>
          <w:p w14:paraId="2F1979E3" w14:textId="77777777" w:rsidR="001962FF" w:rsidRPr="008D1B3F" w:rsidRDefault="001962FF" w:rsidP="001962FF">
            <w:pPr>
              <w:jc w:val="center"/>
            </w:pPr>
            <w:r w:rsidRPr="008D1B3F">
              <w:t>(9)</w:t>
            </w:r>
          </w:p>
        </w:tc>
        <w:tc>
          <w:tcPr>
            <w:tcW w:w="1003" w:type="dxa"/>
            <w:shd w:val="clear" w:color="auto" w:fill="D9D9D9" w:themeFill="background1" w:themeFillShade="D9"/>
          </w:tcPr>
          <w:p w14:paraId="7F65C73D" w14:textId="77777777" w:rsidR="001962FF" w:rsidRPr="008D1B3F" w:rsidRDefault="001962FF" w:rsidP="001962FF">
            <w:pPr>
              <w:jc w:val="center"/>
            </w:pPr>
            <w:r w:rsidRPr="008D1B3F">
              <w:t>(10)</w:t>
            </w:r>
          </w:p>
        </w:tc>
        <w:tc>
          <w:tcPr>
            <w:tcW w:w="1003" w:type="dxa"/>
            <w:shd w:val="clear" w:color="auto" w:fill="D9D9D9" w:themeFill="background1" w:themeFillShade="D9"/>
          </w:tcPr>
          <w:p w14:paraId="7E996C36" w14:textId="77777777" w:rsidR="001962FF" w:rsidRPr="008D1B3F" w:rsidRDefault="001962FF" w:rsidP="001962FF">
            <w:pPr>
              <w:jc w:val="center"/>
            </w:pPr>
            <w:r w:rsidRPr="008D1B3F">
              <w:t>(11)</w:t>
            </w:r>
          </w:p>
        </w:tc>
        <w:tc>
          <w:tcPr>
            <w:tcW w:w="1003" w:type="dxa"/>
            <w:shd w:val="clear" w:color="auto" w:fill="D9D9D9" w:themeFill="background1" w:themeFillShade="D9"/>
          </w:tcPr>
          <w:p w14:paraId="5ED959F6" w14:textId="77777777" w:rsidR="001962FF" w:rsidRPr="008D1B3F" w:rsidRDefault="001962FF" w:rsidP="001962FF">
            <w:pPr>
              <w:jc w:val="center"/>
            </w:pPr>
            <w:r w:rsidRPr="008D1B3F">
              <w:t>(12)</w:t>
            </w:r>
          </w:p>
        </w:tc>
        <w:tc>
          <w:tcPr>
            <w:tcW w:w="1003" w:type="dxa"/>
            <w:shd w:val="clear" w:color="auto" w:fill="D9D9D9" w:themeFill="background1" w:themeFillShade="D9"/>
          </w:tcPr>
          <w:p w14:paraId="535D266E" w14:textId="77777777" w:rsidR="001962FF" w:rsidRPr="008D1B3F" w:rsidRDefault="001962FF" w:rsidP="001962FF">
            <w:pPr>
              <w:jc w:val="center"/>
            </w:pPr>
            <w:r w:rsidRPr="008D1B3F">
              <w:t>(13)</w:t>
            </w:r>
          </w:p>
        </w:tc>
        <w:tc>
          <w:tcPr>
            <w:tcW w:w="1003" w:type="dxa"/>
            <w:shd w:val="clear" w:color="auto" w:fill="D9D9D9" w:themeFill="background1" w:themeFillShade="D9"/>
          </w:tcPr>
          <w:p w14:paraId="379831AA" w14:textId="77777777" w:rsidR="001962FF" w:rsidRPr="008D1B3F" w:rsidRDefault="001962FF" w:rsidP="001962FF">
            <w:pPr>
              <w:jc w:val="center"/>
            </w:pPr>
            <w:r w:rsidRPr="008D1B3F">
              <w:t>(14)</w:t>
            </w:r>
          </w:p>
        </w:tc>
        <w:tc>
          <w:tcPr>
            <w:tcW w:w="1004" w:type="dxa"/>
            <w:shd w:val="clear" w:color="auto" w:fill="D9D9D9" w:themeFill="background1" w:themeFillShade="D9"/>
          </w:tcPr>
          <w:p w14:paraId="64B60938" w14:textId="77777777" w:rsidR="001962FF" w:rsidRPr="008D1B3F" w:rsidRDefault="001962FF" w:rsidP="001962FF">
            <w:pPr>
              <w:jc w:val="center"/>
            </w:pPr>
            <w:r>
              <w:t>(15)</w:t>
            </w:r>
          </w:p>
        </w:tc>
      </w:tr>
      <w:tr w:rsidR="001962FF" w:rsidRPr="00A65E59" w14:paraId="302CC214" w14:textId="77777777" w:rsidTr="001962FF">
        <w:tc>
          <w:tcPr>
            <w:tcW w:w="1242" w:type="dxa"/>
          </w:tcPr>
          <w:p w14:paraId="483B0C1E" w14:textId="77777777" w:rsidR="001962FF" w:rsidRDefault="001962FF" w:rsidP="001962FF">
            <w:r w:rsidRPr="00236B23">
              <w:t>…………………</w:t>
            </w:r>
          </w:p>
        </w:tc>
        <w:tc>
          <w:tcPr>
            <w:tcW w:w="709" w:type="dxa"/>
          </w:tcPr>
          <w:p w14:paraId="1C4CA754" w14:textId="77777777" w:rsidR="001962FF" w:rsidRPr="00A65E59" w:rsidRDefault="001962FF" w:rsidP="001962FF"/>
        </w:tc>
        <w:tc>
          <w:tcPr>
            <w:tcW w:w="1003" w:type="dxa"/>
          </w:tcPr>
          <w:p w14:paraId="43BBFF7B" w14:textId="77777777" w:rsidR="001962FF" w:rsidRPr="00A65E59" w:rsidRDefault="001962FF" w:rsidP="001962FF"/>
        </w:tc>
        <w:tc>
          <w:tcPr>
            <w:tcW w:w="1003" w:type="dxa"/>
          </w:tcPr>
          <w:p w14:paraId="1E44F3D8" w14:textId="77777777" w:rsidR="001962FF" w:rsidRPr="00A65E59" w:rsidRDefault="001962FF" w:rsidP="001962FF"/>
        </w:tc>
        <w:tc>
          <w:tcPr>
            <w:tcW w:w="1003" w:type="dxa"/>
          </w:tcPr>
          <w:p w14:paraId="564B56FF" w14:textId="77777777" w:rsidR="001962FF" w:rsidRPr="00A65E59" w:rsidRDefault="001962FF" w:rsidP="001962FF"/>
        </w:tc>
        <w:tc>
          <w:tcPr>
            <w:tcW w:w="1003" w:type="dxa"/>
          </w:tcPr>
          <w:p w14:paraId="235550F3" w14:textId="77777777" w:rsidR="001962FF" w:rsidRPr="00A65E59" w:rsidRDefault="001962FF" w:rsidP="001962FF"/>
        </w:tc>
        <w:tc>
          <w:tcPr>
            <w:tcW w:w="1003" w:type="dxa"/>
          </w:tcPr>
          <w:p w14:paraId="1B0F4BBA" w14:textId="77777777" w:rsidR="001962FF" w:rsidRPr="00A65E59" w:rsidRDefault="001962FF" w:rsidP="001962FF"/>
        </w:tc>
        <w:tc>
          <w:tcPr>
            <w:tcW w:w="1003" w:type="dxa"/>
          </w:tcPr>
          <w:p w14:paraId="34D8E30E" w14:textId="77777777" w:rsidR="001962FF" w:rsidRPr="00A65E59" w:rsidRDefault="001962FF" w:rsidP="001962FF"/>
        </w:tc>
        <w:tc>
          <w:tcPr>
            <w:tcW w:w="1004" w:type="dxa"/>
            <w:gridSpan w:val="2"/>
          </w:tcPr>
          <w:p w14:paraId="7F8B6AAC" w14:textId="77777777" w:rsidR="001962FF" w:rsidRPr="00A65E59" w:rsidRDefault="001962FF" w:rsidP="001962FF"/>
        </w:tc>
        <w:tc>
          <w:tcPr>
            <w:tcW w:w="1003" w:type="dxa"/>
          </w:tcPr>
          <w:p w14:paraId="2288397A" w14:textId="77777777" w:rsidR="001962FF" w:rsidRPr="00A65E59" w:rsidRDefault="001962FF" w:rsidP="001962FF"/>
        </w:tc>
        <w:tc>
          <w:tcPr>
            <w:tcW w:w="1003" w:type="dxa"/>
          </w:tcPr>
          <w:p w14:paraId="5F11D3DC" w14:textId="77777777" w:rsidR="001962FF" w:rsidRPr="00A65E59" w:rsidRDefault="001962FF" w:rsidP="001962FF"/>
        </w:tc>
        <w:tc>
          <w:tcPr>
            <w:tcW w:w="1003" w:type="dxa"/>
          </w:tcPr>
          <w:p w14:paraId="49F99742" w14:textId="77777777" w:rsidR="001962FF" w:rsidRPr="00A65E59" w:rsidRDefault="001962FF" w:rsidP="001962FF"/>
        </w:tc>
        <w:tc>
          <w:tcPr>
            <w:tcW w:w="1003" w:type="dxa"/>
          </w:tcPr>
          <w:p w14:paraId="072C8DE1" w14:textId="77777777" w:rsidR="001962FF" w:rsidRPr="00A65E59" w:rsidRDefault="001962FF" w:rsidP="001962FF"/>
        </w:tc>
        <w:tc>
          <w:tcPr>
            <w:tcW w:w="1003" w:type="dxa"/>
          </w:tcPr>
          <w:p w14:paraId="534BAE7A" w14:textId="77777777" w:rsidR="001962FF" w:rsidRPr="00A65E59" w:rsidRDefault="001962FF" w:rsidP="001962FF"/>
        </w:tc>
        <w:tc>
          <w:tcPr>
            <w:tcW w:w="1004" w:type="dxa"/>
          </w:tcPr>
          <w:p w14:paraId="197171F0" w14:textId="77777777" w:rsidR="001962FF" w:rsidRPr="00A65E59" w:rsidRDefault="001962FF" w:rsidP="001962FF"/>
        </w:tc>
      </w:tr>
      <w:tr w:rsidR="001962FF" w:rsidRPr="00A65E59" w14:paraId="5F96F58E" w14:textId="77777777" w:rsidTr="001962FF">
        <w:tc>
          <w:tcPr>
            <w:tcW w:w="1242" w:type="dxa"/>
          </w:tcPr>
          <w:p w14:paraId="401E5474" w14:textId="77777777" w:rsidR="001962FF" w:rsidRDefault="001962FF" w:rsidP="001962FF">
            <w:r w:rsidRPr="00236B23">
              <w:t>…………………</w:t>
            </w:r>
          </w:p>
        </w:tc>
        <w:tc>
          <w:tcPr>
            <w:tcW w:w="709" w:type="dxa"/>
          </w:tcPr>
          <w:p w14:paraId="669AC227" w14:textId="77777777" w:rsidR="001962FF" w:rsidRPr="00A65E59" w:rsidRDefault="001962FF" w:rsidP="001962FF"/>
        </w:tc>
        <w:tc>
          <w:tcPr>
            <w:tcW w:w="1003" w:type="dxa"/>
          </w:tcPr>
          <w:p w14:paraId="5A172E1B" w14:textId="77777777" w:rsidR="001962FF" w:rsidRPr="00A65E59" w:rsidRDefault="001962FF" w:rsidP="001962FF"/>
        </w:tc>
        <w:tc>
          <w:tcPr>
            <w:tcW w:w="1003" w:type="dxa"/>
          </w:tcPr>
          <w:p w14:paraId="465096C7" w14:textId="77777777" w:rsidR="001962FF" w:rsidRPr="00A65E59" w:rsidRDefault="001962FF" w:rsidP="001962FF"/>
        </w:tc>
        <w:tc>
          <w:tcPr>
            <w:tcW w:w="1003" w:type="dxa"/>
          </w:tcPr>
          <w:p w14:paraId="1CB52963" w14:textId="77777777" w:rsidR="001962FF" w:rsidRPr="00A65E59" w:rsidRDefault="001962FF" w:rsidP="001962FF"/>
        </w:tc>
        <w:tc>
          <w:tcPr>
            <w:tcW w:w="1003" w:type="dxa"/>
          </w:tcPr>
          <w:p w14:paraId="6D016D50" w14:textId="77777777" w:rsidR="001962FF" w:rsidRPr="00A65E59" w:rsidRDefault="001962FF" w:rsidP="001962FF"/>
        </w:tc>
        <w:tc>
          <w:tcPr>
            <w:tcW w:w="1003" w:type="dxa"/>
          </w:tcPr>
          <w:p w14:paraId="6ACB98A9" w14:textId="77777777" w:rsidR="001962FF" w:rsidRPr="00A65E59" w:rsidRDefault="001962FF" w:rsidP="001962FF"/>
        </w:tc>
        <w:tc>
          <w:tcPr>
            <w:tcW w:w="1003" w:type="dxa"/>
          </w:tcPr>
          <w:p w14:paraId="1FAC7C50" w14:textId="77777777" w:rsidR="001962FF" w:rsidRPr="00A65E59" w:rsidRDefault="001962FF" w:rsidP="001962FF"/>
        </w:tc>
        <w:tc>
          <w:tcPr>
            <w:tcW w:w="1004" w:type="dxa"/>
            <w:gridSpan w:val="2"/>
          </w:tcPr>
          <w:p w14:paraId="3729D8B6" w14:textId="77777777" w:rsidR="001962FF" w:rsidRPr="00A65E59" w:rsidRDefault="001962FF" w:rsidP="001962FF"/>
        </w:tc>
        <w:tc>
          <w:tcPr>
            <w:tcW w:w="1003" w:type="dxa"/>
          </w:tcPr>
          <w:p w14:paraId="5B6B9B2D" w14:textId="77777777" w:rsidR="001962FF" w:rsidRPr="00A65E59" w:rsidRDefault="001962FF" w:rsidP="001962FF"/>
        </w:tc>
        <w:tc>
          <w:tcPr>
            <w:tcW w:w="1003" w:type="dxa"/>
          </w:tcPr>
          <w:p w14:paraId="4A2CFE1D" w14:textId="77777777" w:rsidR="001962FF" w:rsidRPr="00A65E59" w:rsidRDefault="001962FF" w:rsidP="001962FF"/>
        </w:tc>
        <w:tc>
          <w:tcPr>
            <w:tcW w:w="1003" w:type="dxa"/>
          </w:tcPr>
          <w:p w14:paraId="3B1D8689" w14:textId="77777777" w:rsidR="001962FF" w:rsidRPr="00A65E59" w:rsidRDefault="001962FF" w:rsidP="001962FF"/>
        </w:tc>
        <w:tc>
          <w:tcPr>
            <w:tcW w:w="1003" w:type="dxa"/>
          </w:tcPr>
          <w:p w14:paraId="76BF141A" w14:textId="77777777" w:rsidR="001962FF" w:rsidRPr="00A65E59" w:rsidRDefault="001962FF" w:rsidP="001962FF"/>
        </w:tc>
        <w:tc>
          <w:tcPr>
            <w:tcW w:w="1003" w:type="dxa"/>
          </w:tcPr>
          <w:p w14:paraId="1B731D96" w14:textId="77777777" w:rsidR="001962FF" w:rsidRPr="00A65E59" w:rsidRDefault="001962FF" w:rsidP="001962FF"/>
        </w:tc>
        <w:tc>
          <w:tcPr>
            <w:tcW w:w="1004" w:type="dxa"/>
          </w:tcPr>
          <w:p w14:paraId="2A42CBF3" w14:textId="77777777" w:rsidR="001962FF" w:rsidRPr="00A65E59" w:rsidRDefault="001962FF" w:rsidP="001962FF"/>
        </w:tc>
      </w:tr>
      <w:tr w:rsidR="001962FF" w:rsidRPr="00A65E59" w14:paraId="4053CD6B" w14:textId="77777777" w:rsidTr="001962FF">
        <w:tc>
          <w:tcPr>
            <w:tcW w:w="1242" w:type="dxa"/>
          </w:tcPr>
          <w:p w14:paraId="3D571EFB" w14:textId="77777777" w:rsidR="001962FF" w:rsidRDefault="001962FF" w:rsidP="001962FF">
            <w:r w:rsidRPr="00236B23">
              <w:t>…………………</w:t>
            </w:r>
          </w:p>
        </w:tc>
        <w:tc>
          <w:tcPr>
            <w:tcW w:w="709" w:type="dxa"/>
          </w:tcPr>
          <w:p w14:paraId="524C4738" w14:textId="77777777" w:rsidR="001962FF" w:rsidRPr="00A65E59" w:rsidRDefault="001962FF" w:rsidP="001962FF"/>
        </w:tc>
        <w:tc>
          <w:tcPr>
            <w:tcW w:w="1003" w:type="dxa"/>
          </w:tcPr>
          <w:p w14:paraId="5355067C" w14:textId="77777777" w:rsidR="001962FF" w:rsidRPr="00A65E59" w:rsidRDefault="001962FF" w:rsidP="001962FF"/>
        </w:tc>
        <w:tc>
          <w:tcPr>
            <w:tcW w:w="1003" w:type="dxa"/>
          </w:tcPr>
          <w:p w14:paraId="7FE6A666" w14:textId="77777777" w:rsidR="001962FF" w:rsidRPr="00A65E59" w:rsidRDefault="001962FF" w:rsidP="001962FF"/>
        </w:tc>
        <w:tc>
          <w:tcPr>
            <w:tcW w:w="1003" w:type="dxa"/>
          </w:tcPr>
          <w:p w14:paraId="4E8A91B6" w14:textId="77777777" w:rsidR="001962FF" w:rsidRPr="00A65E59" w:rsidRDefault="001962FF" w:rsidP="001962FF"/>
        </w:tc>
        <w:tc>
          <w:tcPr>
            <w:tcW w:w="1003" w:type="dxa"/>
          </w:tcPr>
          <w:p w14:paraId="3504DA4B" w14:textId="77777777" w:rsidR="001962FF" w:rsidRPr="00A65E59" w:rsidRDefault="001962FF" w:rsidP="001962FF"/>
        </w:tc>
        <w:tc>
          <w:tcPr>
            <w:tcW w:w="1003" w:type="dxa"/>
          </w:tcPr>
          <w:p w14:paraId="16374DA9" w14:textId="77777777" w:rsidR="001962FF" w:rsidRPr="00A65E59" w:rsidRDefault="001962FF" w:rsidP="001962FF"/>
        </w:tc>
        <w:tc>
          <w:tcPr>
            <w:tcW w:w="1003" w:type="dxa"/>
          </w:tcPr>
          <w:p w14:paraId="62AAFAC6" w14:textId="77777777" w:rsidR="001962FF" w:rsidRPr="00A65E59" w:rsidRDefault="001962FF" w:rsidP="001962FF"/>
        </w:tc>
        <w:tc>
          <w:tcPr>
            <w:tcW w:w="1004" w:type="dxa"/>
            <w:gridSpan w:val="2"/>
          </w:tcPr>
          <w:p w14:paraId="5463687A" w14:textId="77777777" w:rsidR="001962FF" w:rsidRPr="00A65E59" w:rsidRDefault="001962FF" w:rsidP="001962FF"/>
        </w:tc>
        <w:tc>
          <w:tcPr>
            <w:tcW w:w="1003" w:type="dxa"/>
          </w:tcPr>
          <w:p w14:paraId="04ABF567" w14:textId="77777777" w:rsidR="001962FF" w:rsidRPr="00A65E59" w:rsidRDefault="001962FF" w:rsidP="001962FF"/>
        </w:tc>
        <w:tc>
          <w:tcPr>
            <w:tcW w:w="1003" w:type="dxa"/>
          </w:tcPr>
          <w:p w14:paraId="53F2252B" w14:textId="77777777" w:rsidR="001962FF" w:rsidRPr="00A65E59" w:rsidRDefault="001962FF" w:rsidP="001962FF"/>
        </w:tc>
        <w:tc>
          <w:tcPr>
            <w:tcW w:w="1003" w:type="dxa"/>
          </w:tcPr>
          <w:p w14:paraId="0B88B7AB" w14:textId="77777777" w:rsidR="001962FF" w:rsidRPr="00A65E59" w:rsidRDefault="001962FF" w:rsidP="001962FF"/>
        </w:tc>
        <w:tc>
          <w:tcPr>
            <w:tcW w:w="1003" w:type="dxa"/>
          </w:tcPr>
          <w:p w14:paraId="16FAD4D2" w14:textId="77777777" w:rsidR="001962FF" w:rsidRPr="00A65E59" w:rsidRDefault="001962FF" w:rsidP="001962FF"/>
        </w:tc>
        <w:tc>
          <w:tcPr>
            <w:tcW w:w="1003" w:type="dxa"/>
          </w:tcPr>
          <w:p w14:paraId="2FC32A85" w14:textId="77777777" w:rsidR="001962FF" w:rsidRPr="00A65E59" w:rsidRDefault="001962FF" w:rsidP="001962FF"/>
        </w:tc>
        <w:tc>
          <w:tcPr>
            <w:tcW w:w="1004" w:type="dxa"/>
          </w:tcPr>
          <w:p w14:paraId="6D430CED" w14:textId="77777777" w:rsidR="001962FF" w:rsidRPr="00A65E59" w:rsidRDefault="001962FF" w:rsidP="001962FF"/>
        </w:tc>
      </w:tr>
      <w:tr w:rsidR="001962FF" w:rsidRPr="00A65E59" w14:paraId="2F06C6A9" w14:textId="77777777" w:rsidTr="001962FF">
        <w:tc>
          <w:tcPr>
            <w:tcW w:w="1242" w:type="dxa"/>
          </w:tcPr>
          <w:p w14:paraId="69FC5C4F" w14:textId="77777777" w:rsidR="001962FF" w:rsidRDefault="001962FF" w:rsidP="001962FF">
            <w:r w:rsidRPr="00236B23">
              <w:t>…………………</w:t>
            </w:r>
          </w:p>
        </w:tc>
        <w:tc>
          <w:tcPr>
            <w:tcW w:w="709" w:type="dxa"/>
          </w:tcPr>
          <w:p w14:paraId="116E25C2" w14:textId="77777777" w:rsidR="001962FF" w:rsidRPr="00A65E59" w:rsidRDefault="001962FF" w:rsidP="001962FF"/>
        </w:tc>
        <w:tc>
          <w:tcPr>
            <w:tcW w:w="1003" w:type="dxa"/>
          </w:tcPr>
          <w:p w14:paraId="49AB3BE6" w14:textId="77777777" w:rsidR="001962FF" w:rsidRPr="00A65E59" w:rsidRDefault="001962FF" w:rsidP="001962FF"/>
        </w:tc>
        <w:tc>
          <w:tcPr>
            <w:tcW w:w="1003" w:type="dxa"/>
          </w:tcPr>
          <w:p w14:paraId="4925B7C7" w14:textId="77777777" w:rsidR="001962FF" w:rsidRPr="00A65E59" w:rsidRDefault="001962FF" w:rsidP="001962FF"/>
        </w:tc>
        <w:tc>
          <w:tcPr>
            <w:tcW w:w="1003" w:type="dxa"/>
          </w:tcPr>
          <w:p w14:paraId="4708233C" w14:textId="77777777" w:rsidR="001962FF" w:rsidRPr="00A65E59" w:rsidRDefault="001962FF" w:rsidP="001962FF"/>
        </w:tc>
        <w:tc>
          <w:tcPr>
            <w:tcW w:w="1003" w:type="dxa"/>
          </w:tcPr>
          <w:p w14:paraId="1E3C9BC0" w14:textId="77777777" w:rsidR="001962FF" w:rsidRPr="00A65E59" w:rsidRDefault="001962FF" w:rsidP="001962FF"/>
        </w:tc>
        <w:tc>
          <w:tcPr>
            <w:tcW w:w="1003" w:type="dxa"/>
          </w:tcPr>
          <w:p w14:paraId="162FDE42" w14:textId="77777777" w:rsidR="001962FF" w:rsidRPr="00A65E59" w:rsidRDefault="001962FF" w:rsidP="001962FF"/>
        </w:tc>
        <w:tc>
          <w:tcPr>
            <w:tcW w:w="1003" w:type="dxa"/>
          </w:tcPr>
          <w:p w14:paraId="456E44B8" w14:textId="77777777" w:rsidR="001962FF" w:rsidRPr="00A65E59" w:rsidRDefault="001962FF" w:rsidP="001962FF"/>
        </w:tc>
        <w:tc>
          <w:tcPr>
            <w:tcW w:w="1004" w:type="dxa"/>
            <w:gridSpan w:val="2"/>
          </w:tcPr>
          <w:p w14:paraId="324F3045" w14:textId="77777777" w:rsidR="001962FF" w:rsidRPr="00A65E59" w:rsidRDefault="001962FF" w:rsidP="001962FF"/>
        </w:tc>
        <w:tc>
          <w:tcPr>
            <w:tcW w:w="1003" w:type="dxa"/>
          </w:tcPr>
          <w:p w14:paraId="22FB9059" w14:textId="77777777" w:rsidR="001962FF" w:rsidRPr="00A65E59" w:rsidRDefault="001962FF" w:rsidP="001962FF"/>
        </w:tc>
        <w:tc>
          <w:tcPr>
            <w:tcW w:w="1003" w:type="dxa"/>
          </w:tcPr>
          <w:p w14:paraId="27DD7289" w14:textId="77777777" w:rsidR="001962FF" w:rsidRPr="00A65E59" w:rsidRDefault="001962FF" w:rsidP="001962FF"/>
        </w:tc>
        <w:tc>
          <w:tcPr>
            <w:tcW w:w="1003" w:type="dxa"/>
          </w:tcPr>
          <w:p w14:paraId="757FC131" w14:textId="77777777" w:rsidR="001962FF" w:rsidRPr="00A65E59" w:rsidRDefault="001962FF" w:rsidP="001962FF"/>
        </w:tc>
        <w:tc>
          <w:tcPr>
            <w:tcW w:w="1003" w:type="dxa"/>
          </w:tcPr>
          <w:p w14:paraId="41236352" w14:textId="77777777" w:rsidR="001962FF" w:rsidRPr="00A65E59" w:rsidRDefault="001962FF" w:rsidP="001962FF"/>
        </w:tc>
        <w:tc>
          <w:tcPr>
            <w:tcW w:w="1003" w:type="dxa"/>
          </w:tcPr>
          <w:p w14:paraId="05A617A3" w14:textId="77777777" w:rsidR="001962FF" w:rsidRPr="00A65E59" w:rsidRDefault="001962FF" w:rsidP="001962FF"/>
        </w:tc>
        <w:tc>
          <w:tcPr>
            <w:tcW w:w="1004" w:type="dxa"/>
          </w:tcPr>
          <w:p w14:paraId="4FE56955" w14:textId="77777777" w:rsidR="001962FF" w:rsidRPr="00A65E59" w:rsidRDefault="001962FF" w:rsidP="001962FF"/>
        </w:tc>
      </w:tr>
      <w:tr w:rsidR="001962FF" w:rsidRPr="00A65E59" w14:paraId="23A887C4" w14:textId="77777777" w:rsidTr="001962FF">
        <w:tc>
          <w:tcPr>
            <w:tcW w:w="1242" w:type="dxa"/>
          </w:tcPr>
          <w:p w14:paraId="320000A3" w14:textId="77777777" w:rsidR="001962FF" w:rsidRDefault="001962FF" w:rsidP="001962FF">
            <w:r w:rsidRPr="00236B23">
              <w:t>…………………</w:t>
            </w:r>
          </w:p>
        </w:tc>
        <w:tc>
          <w:tcPr>
            <w:tcW w:w="709" w:type="dxa"/>
          </w:tcPr>
          <w:p w14:paraId="45252C61" w14:textId="77777777" w:rsidR="001962FF" w:rsidRPr="00A65E59" w:rsidRDefault="001962FF" w:rsidP="001962FF"/>
        </w:tc>
        <w:tc>
          <w:tcPr>
            <w:tcW w:w="1003" w:type="dxa"/>
          </w:tcPr>
          <w:p w14:paraId="3E2463CC" w14:textId="77777777" w:rsidR="001962FF" w:rsidRPr="00A65E59" w:rsidRDefault="001962FF" w:rsidP="001962FF"/>
        </w:tc>
        <w:tc>
          <w:tcPr>
            <w:tcW w:w="1003" w:type="dxa"/>
          </w:tcPr>
          <w:p w14:paraId="15156BCB" w14:textId="77777777" w:rsidR="001962FF" w:rsidRPr="00A65E59" w:rsidRDefault="001962FF" w:rsidP="001962FF"/>
        </w:tc>
        <w:tc>
          <w:tcPr>
            <w:tcW w:w="1003" w:type="dxa"/>
          </w:tcPr>
          <w:p w14:paraId="71D506B0" w14:textId="77777777" w:rsidR="001962FF" w:rsidRPr="00A65E59" w:rsidRDefault="001962FF" w:rsidP="001962FF"/>
        </w:tc>
        <w:tc>
          <w:tcPr>
            <w:tcW w:w="1003" w:type="dxa"/>
          </w:tcPr>
          <w:p w14:paraId="146E73C5" w14:textId="77777777" w:rsidR="001962FF" w:rsidRPr="00A65E59" w:rsidRDefault="001962FF" w:rsidP="001962FF"/>
        </w:tc>
        <w:tc>
          <w:tcPr>
            <w:tcW w:w="1003" w:type="dxa"/>
          </w:tcPr>
          <w:p w14:paraId="6C5BFA58" w14:textId="77777777" w:rsidR="001962FF" w:rsidRPr="00A65E59" w:rsidRDefault="001962FF" w:rsidP="001962FF"/>
        </w:tc>
        <w:tc>
          <w:tcPr>
            <w:tcW w:w="1003" w:type="dxa"/>
          </w:tcPr>
          <w:p w14:paraId="1FA00180" w14:textId="77777777" w:rsidR="001962FF" w:rsidRPr="00A65E59" w:rsidRDefault="001962FF" w:rsidP="001962FF"/>
        </w:tc>
        <w:tc>
          <w:tcPr>
            <w:tcW w:w="1004" w:type="dxa"/>
            <w:gridSpan w:val="2"/>
          </w:tcPr>
          <w:p w14:paraId="586644F8" w14:textId="77777777" w:rsidR="001962FF" w:rsidRPr="00A65E59" w:rsidRDefault="001962FF" w:rsidP="001962FF"/>
        </w:tc>
        <w:tc>
          <w:tcPr>
            <w:tcW w:w="1003" w:type="dxa"/>
          </w:tcPr>
          <w:p w14:paraId="6670C425" w14:textId="77777777" w:rsidR="001962FF" w:rsidRPr="00A65E59" w:rsidRDefault="001962FF" w:rsidP="001962FF"/>
        </w:tc>
        <w:tc>
          <w:tcPr>
            <w:tcW w:w="1003" w:type="dxa"/>
          </w:tcPr>
          <w:p w14:paraId="0F21A86B" w14:textId="77777777" w:rsidR="001962FF" w:rsidRPr="00A65E59" w:rsidRDefault="001962FF" w:rsidP="001962FF"/>
        </w:tc>
        <w:tc>
          <w:tcPr>
            <w:tcW w:w="1003" w:type="dxa"/>
          </w:tcPr>
          <w:p w14:paraId="1946D6B5" w14:textId="77777777" w:rsidR="001962FF" w:rsidRPr="00A65E59" w:rsidRDefault="001962FF" w:rsidP="001962FF"/>
        </w:tc>
        <w:tc>
          <w:tcPr>
            <w:tcW w:w="1003" w:type="dxa"/>
          </w:tcPr>
          <w:p w14:paraId="4DA79C52" w14:textId="77777777" w:rsidR="001962FF" w:rsidRPr="00A65E59" w:rsidRDefault="001962FF" w:rsidP="001962FF"/>
        </w:tc>
        <w:tc>
          <w:tcPr>
            <w:tcW w:w="1003" w:type="dxa"/>
          </w:tcPr>
          <w:p w14:paraId="3224C2F7" w14:textId="77777777" w:rsidR="001962FF" w:rsidRPr="00A65E59" w:rsidRDefault="001962FF" w:rsidP="001962FF"/>
        </w:tc>
        <w:tc>
          <w:tcPr>
            <w:tcW w:w="1004" w:type="dxa"/>
          </w:tcPr>
          <w:p w14:paraId="47585B04" w14:textId="77777777" w:rsidR="001962FF" w:rsidRPr="00A65E59" w:rsidRDefault="001962FF" w:rsidP="001962FF"/>
        </w:tc>
      </w:tr>
    </w:tbl>
    <w:p w14:paraId="136D1F7B" w14:textId="77777777" w:rsidR="00290488" w:rsidRDefault="00290488">
      <w:pPr>
        <w:spacing w:after="160"/>
      </w:pPr>
      <w:r>
        <w:t>Tabel 3: Ondermodule premierisico en reserverisico voor Schadeverzekeringen en NSLT Ziekteverzekeringen – Artikel 104 (7) van de Solvency II Richtlijn.</w:t>
      </w:r>
    </w:p>
    <w:p w14:paraId="5C5D6AC7" w14:textId="77777777" w:rsidR="0037169D" w:rsidRDefault="0037169D">
      <w:pPr>
        <w:spacing w:after="160"/>
      </w:pPr>
    </w:p>
    <w:p w14:paraId="06D63DDF" w14:textId="77777777" w:rsidR="0099082D" w:rsidRDefault="0099082D">
      <w:pPr>
        <w:spacing w:after="160"/>
      </w:pPr>
      <w:r>
        <w:t>NB: Tabel dient ingevuld te worden voor iedere onderneming afzonderlijk</w:t>
      </w:r>
      <w:r w:rsidR="00101B68">
        <w:t>,</w:t>
      </w:r>
      <w:r>
        <w:t xml:space="preserve"> zoals vermeld in regel 2 en 6 van tabel 1.</w:t>
      </w:r>
      <w:r w:rsidR="000921E8">
        <w:t xml:space="preserve"> Voor de begrippen “Tijdsduur (TD)” en “Geloofwaardigheidsfactor </w:t>
      </w:r>
      <w:r w:rsidR="00EC4E96">
        <w:t>(GWF)” wordt verwezen naar Afdeling</w:t>
      </w:r>
      <w:r w:rsidR="002D6445">
        <w:t xml:space="preserve"> G van </w:t>
      </w:r>
      <w:r w:rsidR="00EC4E96">
        <w:t>B</w:t>
      </w:r>
      <w:r w:rsidR="002D6445">
        <w:t>ijlage XVII van de G</w:t>
      </w:r>
      <w:r w:rsidR="000921E8">
        <w:t xml:space="preserve">edelegeerde </w:t>
      </w:r>
      <w:r w:rsidR="002D6445">
        <w:t>V</w:t>
      </w:r>
      <w:r w:rsidR="000921E8">
        <w:t xml:space="preserve">erordening 2015/35. </w:t>
      </w:r>
      <w:r w:rsidR="005C721A">
        <w:t xml:space="preserve">Verder moet er een keuze gemaakt worden tussen </w:t>
      </w:r>
      <w:r w:rsidR="00BC05D2">
        <w:t>het premiereserverisico en de niet-proportionele herverzekering én tussen methode 1 en methode 2 van het reserverisico. Cellen die niet van toepassing zijn, hoeven niet te worden ingevuld.</w:t>
      </w:r>
    </w:p>
    <w:p w14:paraId="641044DD" w14:textId="77777777" w:rsidR="005C721A" w:rsidRDefault="000B3831">
      <w:pPr>
        <w:spacing w:after="160"/>
      </w:pPr>
      <w:r>
        <w:t xml:space="preserve"> </w:t>
      </w:r>
    </w:p>
    <w:p w14:paraId="5F2EBC9B" w14:textId="77777777" w:rsidR="0037169D" w:rsidRDefault="0037169D">
      <w:pPr>
        <w:spacing w:after="160"/>
      </w:pPr>
      <w:r>
        <w:t>Legenda:</w:t>
      </w:r>
    </w:p>
    <w:p w14:paraId="1F067CD9" w14:textId="77777777" w:rsidR="0099082D" w:rsidRDefault="0037169D" w:rsidP="00101B68">
      <w:pPr>
        <w:pStyle w:val="Lijstalinea"/>
        <w:numPr>
          <w:ilvl w:val="0"/>
          <w:numId w:val="10"/>
        </w:numPr>
        <w:spacing w:after="160"/>
        <w:ind w:left="426" w:hanging="426"/>
      </w:pPr>
      <w:r>
        <w:t>= Segment</w:t>
      </w:r>
      <w:r w:rsidR="0099082D">
        <w:t>en</w:t>
      </w:r>
      <w:r>
        <w:t xml:space="preserve"> </w:t>
      </w:r>
      <w:r w:rsidR="00EC4E96">
        <w:t>1 t/m 12 als vastgesteld in B</w:t>
      </w:r>
      <w:r w:rsidR="0099082D">
        <w:t>ijlage II en segmenten 1 t/m 4 als vas</w:t>
      </w:r>
      <w:r w:rsidR="00EC4E96">
        <w:t>tgesteld in B</w:t>
      </w:r>
      <w:r w:rsidR="002D6445">
        <w:t>ijlage XIV van de Gedelegeerde V</w:t>
      </w:r>
      <w:r w:rsidR="0099082D">
        <w:t>erordening 2015/35</w:t>
      </w:r>
      <w:r w:rsidR="00EC4E96">
        <w:t>.</w:t>
      </w:r>
    </w:p>
    <w:p w14:paraId="56F051F2" w14:textId="77777777" w:rsidR="004D513F" w:rsidRDefault="0099082D" w:rsidP="00032206">
      <w:pPr>
        <w:pStyle w:val="Lijstalinea"/>
        <w:numPr>
          <w:ilvl w:val="0"/>
          <w:numId w:val="10"/>
        </w:numPr>
        <w:spacing w:after="160"/>
        <w:ind w:left="426" w:hanging="426"/>
      </w:pPr>
      <w:r>
        <w:t xml:space="preserve">= </w:t>
      </w:r>
      <w:r w:rsidR="004D513F">
        <w:t>Solo of Groep waarop de USP’s betrekking hebben.</w:t>
      </w:r>
    </w:p>
    <w:p w14:paraId="5C8484D5" w14:textId="77777777" w:rsidR="004D513F" w:rsidRDefault="004D513F" w:rsidP="00032206">
      <w:pPr>
        <w:pStyle w:val="Lijstalinea"/>
        <w:numPr>
          <w:ilvl w:val="0"/>
          <w:numId w:val="10"/>
        </w:numPr>
        <w:spacing w:after="160"/>
        <w:ind w:left="426" w:hanging="426"/>
      </w:pPr>
      <w:r>
        <w:t>= Standaardafwijking voor het premiereserverisico.</w:t>
      </w:r>
    </w:p>
    <w:p w14:paraId="62E8CA00" w14:textId="77777777" w:rsidR="001962FF" w:rsidRDefault="001962FF" w:rsidP="00032206">
      <w:pPr>
        <w:pStyle w:val="Lijstalinea"/>
        <w:numPr>
          <w:ilvl w:val="0"/>
          <w:numId w:val="10"/>
        </w:numPr>
        <w:spacing w:after="160"/>
        <w:ind w:left="426" w:hanging="426"/>
      </w:pPr>
      <w:r>
        <w:t>= Standaardafwijking heeft betrekking op bruto premiereserverisico; Ja/Nee.</w:t>
      </w:r>
    </w:p>
    <w:p w14:paraId="179A4E0D" w14:textId="77777777" w:rsidR="004D513F" w:rsidRDefault="004D513F" w:rsidP="00032206">
      <w:pPr>
        <w:pStyle w:val="Lijstalinea"/>
        <w:numPr>
          <w:ilvl w:val="0"/>
          <w:numId w:val="10"/>
        </w:numPr>
        <w:spacing w:after="160"/>
        <w:ind w:left="426" w:hanging="426"/>
      </w:pPr>
      <w:r>
        <w:t>= Tijdsduur in jaren voor het premiereserverisico.</w:t>
      </w:r>
    </w:p>
    <w:p w14:paraId="15B0F95B" w14:textId="77777777" w:rsidR="004D513F" w:rsidRDefault="004D513F" w:rsidP="00032206">
      <w:pPr>
        <w:pStyle w:val="Lijstalinea"/>
        <w:numPr>
          <w:ilvl w:val="0"/>
          <w:numId w:val="10"/>
        </w:numPr>
        <w:spacing w:after="160"/>
        <w:ind w:left="426" w:hanging="426"/>
      </w:pPr>
      <w:r>
        <w:t>= Geloofwaardigheidsfactor in procenten voor het premiereserverisico.</w:t>
      </w:r>
    </w:p>
    <w:p w14:paraId="415AC71D" w14:textId="77777777" w:rsidR="004D513F" w:rsidRDefault="004D513F" w:rsidP="00032206">
      <w:pPr>
        <w:pStyle w:val="Lijstalinea"/>
        <w:numPr>
          <w:ilvl w:val="0"/>
          <w:numId w:val="10"/>
        </w:numPr>
        <w:spacing w:after="160"/>
        <w:ind w:left="426" w:hanging="426"/>
      </w:pPr>
      <w:r>
        <w:t>= Standaardafwijking voor het reserverisico volgens methode 1.</w:t>
      </w:r>
    </w:p>
    <w:p w14:paraId="52958012" w14:textId="77777777" w:rsidR="001F1C5D" w:rsidRDefault="004D513F" w:rsidP="00032206">
      <w:pPr>
        <w:pStyle w:val="Lijstalinea"/>
        <w:numPr>
          <w:ilvl w:val="0"/>
          <w:numId w:val="10"/>
        </w:numPr>
        <w:spacing w:after="160"/>
        <w:ind w:left="426" w:hanging="426"/>
      </w:pPr>
      <w:r>
        <w:t>= Tijdsduur in jaren voor het</w:t>
      </w:r>
      <w:r w:rsidR="001F1C5D">
        <w:t xml:space="preserve"> reserverisico volgens methode 1.</w:t>
      </w:r>
    </w:p>
    <w:p w14:paraId="4C5F18E4" w14:textId="77777777" w:rsidR="001F1C5D" w:rsidRDefault="001F1C5D" w:rsidP="00032206">
      <w:pPr>
        <w:pStyle w:val="Lijstalinea"/>
        <w:numPr>
          <w:ilvl w:val="0"/>
          <w:numId w:val="10"/>
        </w:numPr>
        <w:spacing w:after="160"/>
        <w:ind w:left="426" w:hanging="426"/>
      </w:pPr>
      <w:r>
        <w:t>= Geloofwaardigheidsfactor in procenten voor het reserverisico volgens methode 1.</w:t>
      </w:r>
    </w:p>
    <w:p w14:paraId="774AC14F" w14:textId="77777777" w:rsidR="004D513F" w:rsidRDefault="001F1C5D" w:rsidP="00032206">
      <w:pPr>
        <w:pStyle w:val="Lijstalinea"/>
        <w:numPr>
          <w:ilvl w:val="0"/>
          <w:numId w:val="10"/>
        </w:numPr>
        <w:spacing w:after="160"/>
        <w:ind w:left="426" w:hanging="426"/>
      </w:pPr>
      <w:r>
        <w:t>= Standaardafwijking voor het reserverisico volgens methode 2.</w:t>
      </w:r>
    </w:p>
    <w:p w14:paraId="09E6F5C7" w14:textId="77777777" w:rsidR="001F1C5D" w:rsidRDefault="001F1C5D" w:rsidP="00032206">
      <w:pPr>
        <w:pStyle w:val="Lijstalinea"/>
        <w:numPr>
          <w:ilvl w:val="0"/>
          <w:numId w:val="10"/>
        </w:numPr>
        <w:spacing w:after="160"/>
        <w:ind w:left="426" w:hanging="426"/>
      </w:pPr>
      <w:r>
        <w:t>= Tijdsduur in jaren voor het reserverisico volgens methode 2.</w:t>
      </w:r>
    </w:p>
    <w:p w14:paraId="7C6F935A" w14:textId="77777777" w:rsidR="000921E8" w:rsidRDefault="001F1C5D" w:rsidP="00032206">
      <w:pPr>
        <w:pStyle w:val="Lijstalinea"/>
        <w:numPr>
          <w:ilvl w:val="0"/>
          <w:numId w:val="10"/>
        </w:numPr>
        <w:spacing w:after="160"/>
        <w:ind w:left="426" w:hanging="426"/>
      </w:pPr>
      <w:r>
        <w:t>=</w:t>
      </w:r>
      <w:r w:rsidRPr="001F1C5D">
        <w:t xml:space="preserve"> </w:t>
      </w:r>
      <w:r>
        <w:t>Geloofwaardigheidsfactor in procenten voor het reserverisico volgens methode 2</w:t>
      </w:r>
    </w:p>
    <w:p w14:paraId="5F74EF83" w14:textId="77777777" w:rsidR="000921E8" w:rsidRDefault="000921E8" w:rsidP="00032206">
      <w:pPr>
        <w:pStyle w:val="Lijstalinea"/>
        <w:numPr>
          <w:ilvl w:val="0"/>
          <w:numId w:val="10"/>
        </w:numPr>
        <w:spacing w:after="160"/>
        <w:ind w:left="426" w:hanging="426"/>
      </w:pPr>
      <w:r>
        <w:t>= Correctiefactor voor de niet-proportionele herverzekering.</w:t>
      </w:r>
    </w:p>
    <w:p w14:paraId="24154C55" w14:textId="77777777" w:rsidR="001F1C5D" w:rsidRDefault="000921E8" w:rsidP="00032206">
      <w:pPr>
        <w:pStyle w:val="Lijstalinea"/>
        <w:numPr>
          <w:ilvl w:val="0"/>
          <w:numId w:val="10"/>
        </w:numPr>
        <w:spacing w:after="160"/>
        <w:ind w:left="426" w:hanging="426"/>
      </w:pPr>
      <w:r>
        <w:t>= Tijdsduur in jaren voor de niet-proportionele herverzekering</w:t>
      </w:r>
      <w:r w:rsidR="001F1C5D">
        <w:t>.</w:t>
      </w:r>
    </w:p>
    <w:p w14:paraId="601E2741" w14:textId="77777777" w:rsidR="000921E8" w:rsidRDefault="000921E8" w:rsidP="00032206">
      <w:pPr>
        <w:pStyle w:val="Lijstalinea"/>
        <w:numPr>
          <w:ilvl w:val="0"/>
          <w:numId w:val="10"/>
        </w:numPr>
        <w:spacing w:after="160"/>
        <w:ind w:left="426" w:hanging="426"/>
      </w:pPr>
      <w:r>
        <w:t>= Geloofwaardigheidsfactor in procenten voor de niet-proportionele herverzekering.</w:t>
      </w:r>
    </w:p>
    <w:p w14:paraId="7FD4C24D" w14:textId="77777777" w:rsidR="00074FA8" w:rsidRDefault="00074FA8">
      <w:pPr>
        <w:spacing w:after="160"/>
      </w:pPr>
      <w:r>
        <w:br w:type="page"/>
      </w:r>
    </w:p>
    <w:tbl>
      <w:tblPr>
        <w:tblStyle w:val="Tabelraster"/>
        <w:tblpPr w:leftFromText="141" w:rightFromText="141" w:horzAnchor="margin" w:tblpY="615"/>
        <w:tblW w:w="14000" w:type="dxa"/>
        <w:tblLayout w:type="fixed"/>
        <w:tblLook w:val="04A0" w:firstRow="1" w:lastRow="0" w:firstColumn="1" w:lastColumn="0" w:noHBand="0" w:noVBand="1"/>
      </w:tblPr>
      <w:tblGrid>
        <w:gridCol w:w="2038"/>
        <w:gridCol w:w="2039"/>
        <w:gridCol w:w="2639"/>
        <w:gridCol w:w="3642"/>
        <w:gridCol w:w="3642"/>
      </w:tblGrid>
      <w:tr w:rsidR="00074FA8" w:rsidRPr="00A65E59" w14:paraId="3C430776" w14:textId="77777777" w:rsidTr="008D1B3F">
        <w:tc>
          <w:tcPr>
            <w:tcW w:w="4077" w:type="dxa"/>
            <w:gridSpan w:val="2"/>
            <w:shd w:val="clear" w:color="auto" w:fill="D9D9D9" w:themeFill="background1" w:themeFillShade="D9"/>
          </w:tcPr>
          <w:p w14:paraId="202EEE13" w14:textId="77777777" w:rsidR="00074FA8" w:rsidRPr="00A65E59" w:rsidRDefault="00074FA8" w:rsidP="00074FA8">
            <w:pPr>
              <w:jc w:val="right"/>
            </w:pPr>
            <w:r>
              <w:lastRenderedPageBreak/>
              <w:t>Onderneming</w:t>
            </w:r>
          </w:p>
        </w:tc>
        <w:tc>
          <w:tcPr>
            <w:tcW w:w="9923" w:type="dxa"/>
            <w:gridSpan w:val="3"/>
          </w:tcPr>
          <w:p w14:paraId="43700A2C" w14:textId="77777777" w:rsidR="00074FA8" w:rsidRPr="00A65E59" w:rsidRDefault="000B3831" w:rsidP="00A10E45">
            <w:r>
              <w:t>…………………</w:t>
            </w:r>
          </w:p>
        </w:tc>
      </w:tr>
      <w:tr w:rsidR="00074FA8" w:rsidRPr="00A65E59" w14:paraId="4C853AC6" w14:textId="77777777" w:rsidTr="008D1B3F">
        <w:tc>
          <w:tcPr>
            <w:tcW w:w="2038" w:type="dxa"/>
            <w:vMerge w:val="restart"/>
            <w:shd w:val="clear" w:color="auto" w:fill="D9D9D9" w:themeFill="background1" w:themeFillShade="D9"/>
          </w:tcPr>
          <w:p w14:paraId="72820CA9" w14:textId="77777777" w:rsidR="00074FA8" w:rsidRDefault="00074FA8" w:rsidP="00074FA8">
            <w:pPr>
              <w:jc w:val="center"/>
            </w:pPr>
            <w:r>
              <w:t>Segment</w:t>
            </w:r>
          </w:p>
          <w:p w14:paraId="022CA496" w14:textId="77777777" w:rsidR="00FB08A5" w:rsidRPr="007C5373" w:rsidRDefault="00FB08A5" w:rsidP="00074FA8">
            <w:pPr>
              <w:jc w:val="center"/>
            </w:pPr>
            <w:r>
              <w:t>Leven of Ziekte</w:t>
            </w:r>
          </w:p>
        </w:tc>
        <w:tc>
          <w:tcPr>
            <w:tcW w:w="2039" w:type="dxa"/>
            <w:vMerge w:val="restart"/>
            <w:shd w:val="clear" w:color="auto" w:fill="D9D9D9" w:themeFill="background1" w:themeFillShade="D9"/>
          </w:tcPr>
          <w:p w14:paraId="05B2C545" w14:textId="77777777" w:rsidR="00074FA8" w:rsidRPr="007C5373" w:rsidRDefault="00074FA8" w:rsidP="00FB08A5">
            <w:pPr>
              <w:jc w:val="center"/>
            </w:pPr>
            <w:r>
              <w:t>S</w:t>
            </w:r>
            <w:r w:rsidR="00FB08A5">
              <w:t xml:space="preserve">olo of </w:t>
            </w:r>
            <w:r>
              <w:t>G</w:t>
            </w:r>
            <w:r w:rsidR="00FB08A5">
              <w:t>roep</w:t>
            </w:r>
          </w:p>
        </w:tc>
        <w:tc>
          <w:tcPr>
            <w:tcW w:w="9923" w:type="dxa"/>
            <w:gridSpan w:val="3"/>
            <w:shd w:val="clear" w:color="auto" w:fill="D9D9D9" w:themeFill="background1" w:themeFillShade="D9"/>
          </w:tcPr>
          <w:p w14:paraId="36469314" w14:textId="77777777" w:rsidR="00074FA8" w:rsidRPr="00A65E59" w:rsidRDefault="00074FA8" w:rsidP="00074FA8">
            <w:pPr>
              <w:jc w:val="center"/>
            </w:pPr>
            <w:r>
              <w:t>Undertaking Specific Parameters</w:t>
            </w:r>
          </w:p>
        </w:tc>
      </w:tr>
      <w:tr w:rsidR="00074FA8" w:rsidRPr="00A65E59" w14:paraId="0937EBF4" w14:textId="77777777" w:rsidTr="008D1B3F">
        <w:tc>
          <w:tcPr>
            <w:tcW w:w="2038" w:type="dxa"/>
            <w:vMerge/>
            <w:shd w:val="clear" w:color="auto" w:fill="D9D9D9" w:themeFill="background1" w:themeFillShade="D9"/>
          </w:tcPr>
          <w:p w14:paraId="2E2CAAA7" w14:textId="77777777" w:rsidR="00074FA8" w:rsidRPr="00A65E59" w:rsidRDefault="00074FA8" w:rsidP="00074FA8"/>
        </w:tc>
        <w:tc>
          <w:tcPr>
            <w:tcW w:w="2039" w:type="dxa"/>
            <w:vMerge/>
            <w:shd w:val="clear" w:color="auto" w:fill="D9D9D9" w:themeFill="background1" w:themeFillShade="D9"/>
          </w:tcPr>
          <w:p w14:paraId="029B91A7" w14:textId="77777777" w:rsidR="00074FA8" w:rsidRPr="00A65E59" w:rsidRDefault="00074FA8" w:rsidP="00074FA8"/>
        </w:tc>
        <w:tc>
          <w:tcPr>
            <w:tcW w:w="2639" w:type="dxa"/>
            <w:shd w:val="clear" w:color="auto" w:fill="D9D9D9" w:themeFill="background1" w:themeFillShade="D9"/>
          </w:tcPr>
          <w:p w14:paraId="252F6400" w14:textId="77777777" w:rsidR="00074FA8" w:rsidRDefault="00074FA8" w:rsidP="00FB08A5">
            <w:pPr>
              <w:jc w:val="center"/>
              <w:rPr>
                <w:rFonts w:eastAsiaTheme="minorEastAsia"/>
              </w:rPr>
            </w:pPr>
            <w:r>
              <w:rPr>
                <w:rFonts w:eastAsiaTheme="minorEastAsia"/>
              </w:rPr>
              <w:t>Stijging USP</w:t>
            </w:r>
          </w:p>
          <w:p w14:paraId="261C0D8D" w14:textId="77777777" w:rsidR="00074FA8" w:rsidRDefault="00FB08A5" w:rsidP="00FB08A5">
            <w:pPr>
              <w:jc w:val="center"/>
            </w:pPr>
            <w:r>
              <w:t>Lijfrente-uitkeringen</w:t>
            </w:r>
          </w:p>
          <w:p w14:paraId="1D409186" w14:textId="77777777" w:rsidR="00074FA8" w:rsidRPr="00A65E59" w:rsidRDefault="00074FA8" w:rsidP="00074FA8">
            <w:pPr>
              <w:jc w:val="center"/>
            </w:pPr>
          </w:p>
        </w:tc>
        <w:tc>
          <w:tcPr>
            <w:tcW w:w="3642" w:type="dxa"/>
            <w:shd w:val="clear" w:color="auto" w:fill="D9D9D9" w:themeFill="background1" w:themeFillShade="D9"/>
          </w:tcPr>
          <w:p w14:paraId="511B771A" w14:textId="77777777" w:rsidR="00074FA8" w:rsidRDefault="00074FA8" w:rsidP="00074FA8">
            <w:pPr>
              <w:jc w:val="center"/>
            </w:pPr>
            <w:r>
              <w:t>T</w:t>
            </w:r>
            <w:r w:rsidR="00FB08A5">
              <w:t>ijdsduur</w:t>
            </w:r>
          </w:p>
          <w:p w14:paraId="25B50DD8" w14:textId="77777777" w:rsidR="00074FA8" w:rsidRPr="00A65E59" w:rsidRDefault="00FB08A5" w:rsidP="00074FA8">
            <w:pPr>
              <w:jc w:val="center"/>
            </w:pPr>
            <w:r>
              <w:t>Lijfrente-uitkeringen</w:t>
            </w:r>
          </w:p>
        </w:tc>
        <w:tc>
          <w:tcPr>
            <w:tcW w:w="3642" w:type="dxa"/>
            <w:shd w:val="clear" w:color="auto" w:fill="D9D9D9" w:themeFill="background1" w:themeFillShade="D9"/>
          </w:tcPr>
          <w:p w14:paraId="2DE0D270" w14:textId="77777777" w:rsidR="00074FA8" w:rsidRPr="008C5D5E" w:rsidRDefault="00FB08A5" w:rsidP="00074FA8">
            <w:pPr>
              <w:jc w:val="center"/>
            </w:pPr>
            <w:r w:rsidRPr="008C5D5E">
              <w:t>Geloofwaardigheidsfactor</w:t>
            </w:r>
          </w:p>
          <w:p w14:paraId="24F5EAA8" w14:textId="77777777" w:rsidR="00FB08A5" w:rsidRDefault="00FB08A5" w:rsidP="00074FA8">
            <w:pPr>
              <w:jc w:val="center"/>
              <w:rPr>
                <w:rFonts w:ascii="Cambria Math" w:hAnsi="Cambria Math"/>
              </w:rPr>
            </w:pPr>
            <w:r w:rsidRPr="008C5D5E">
              <w:t>Lijfrente-uitkeringen</w:t>
            </w:r>
          </w:p>
        </w:tc>
      </w:tr>
      <w:tr w:rsidR="00074FA8" w:rsidRPr="00A65E59" w14:paraId="54125A67" w14:textId="77777777" w:rsidTr="008D1B3F">
        <w:tc>
          <w:tcPr>
            <w:tcW w:w="2038" w:type="dxa"/>
            <w:shd w:val="clear" w:color="auto" w:fill="D9D9D9" w:themeFill="background1" w:themeFillShade="D9"/>
          </w:tcPr>
          <w:p w14:paraId="4163969B" w14:textId="77777777" w:rsidR="00074FA8" w:rsidRPr="00A65E59" w:rsidRDefault="00074FA8" w:rsidP="00074FA8">
            <w:pPr>
              <w:jc w:val="center"/>
            </w:pPr>
            <w:r>
              <w:t>(1)</w:t>
            </w:r>
          </w:p>
        </w:tc>
        <w:tc>
          <w:tcPr>
            <w:tcW w:w="2039" w:type="dxa"/>
            <w:shd w:val="clear" w:color="auto" w:fill="D9D9D9" w:themeFill="background1" w:themeFillShade="D9"/>
          </w:tcPr>
          <w:p w14:paraId="24957D2B" w14:textId="77777777" w:rsidR="00074FA8" w:rsidRPr="00A65E59" w:rsidRDefault="00074FA8" w:rsidP="00074FA8">
            <w:pPr>
              <w:jc w:val="center"/>
            </w:pPr>
            <w:r>
              <w:t>(2)</w:t>
            </w:r>
          </w:p>
        </w:tc>
        <w:tc>
          <w:tcPr>
            <w:tcW w:w="2639" w:type="dxa"/>
            <w:shd w:val="clear" w:color="auto" w:fill="D9D9D9" w:themeFill="background1" w:themeFillShade="D9"/>
          </w:tcPr>
          <w:p w14:paraId="15EFB1B1" w14:textId="77777777" w:rsidR="00074FA8" w:rsidRPr="00A65E59" w:rsidRDefault="00074FA8" w:rsidP="00074FA8">
            <w:pPr>
              <w:jc w:val="center"/>
            </w:pPr>
            <w:r>
              <w:t>(3)</w:t>
            </w:r>
          </w:p>
        </w:tc>
        <w:tc>
          <w:tcPr>
            <w:tcW w:w="3642" w:type="dxa"/>
            <w:shd w:val="clear" w:color="auto" w:fill="D9D9D9" w:themeFill="background1" w:themeFillShade="D9"/>
          </w:tcPr>
          <w:p w14:paraId="27808953" w14:textId="77777777" w:rsidR="00074FA8" w:rsidRPr="00A65E59" w:rsidRDefault="00074FA8" w:rsidP="00074FA8">
            <w:pPr>
              <w:jc w:val="center"/>
            </w:pPr>
            <w:r>
              <w:t>(4)</w:t>
            </w:r>
          </w:p>
        </w:tc>
        <w:tc>
          <w:tcPr>
            <w:tcW w:w="3642" w:type="dxa"/>
            <w:shd w:val="clear" w:color="auto" w:fill="D9D9D9" w:themeFill="background1" w:themeFillShade="D9"/>
          </w:tcPr>
          <w:p w14:paraId="09210D92" w14:textId="77777777" w:rsidR="00074FA8" w:rsidRPr="00A65E59" w:rsidRDefault="00074FA8" w:rsidP="00074FA8">
            <w:pPr>
              <w:jc w:val="center"/>
            </w:pPr>
            <w:r>
              <w:t>(5)</w:t>
            </w:r>
          </w:p>
        </w:tc>
      </w:tr>
      <w:tr w:rsidR="00074FA8" w:rsidRPr="00A65E59" w14:paraId="681CF4B3" w14:textId="77777777" w:rsidTr="00074FA8">
        <w:tc>
          <w:tcPr>
            <w:tcW w:w="2038" w:type="dxa"/>
          </w:tcPr>
          <w:p w14:paraId="5F22FC61" w14:textId="77777777" w:rsidR="00074FA8" w:rsidRPr="00A65E59" w:rsidRDefault="00074FA8" w:rsidP="00074FA8"/>
        </w:tc>
        <w:tc>
          <w:tcPr>
            <w:tcW w:w="2039" w:type="dxa"/>
          </w:tcPr>
          <w:p w14:paraId="5C3902B5" w14:textId="77777777" w:rsidR="00074FA8" w:rsidRPr="00A65E59" w:rsidRDefault="00074FA8" w:rsidP="00074FA8"/>
        </w:tc>
        <w:tc>
          <w:tcPr>
            <w:tcW w:w="2639" w:type="dxa"/>
          </w:tcPr>
          <w:p w14:paraId="1229C20F" w14:textId="77777777" w:rsidR="00074FA8" w:rsidRPr="00A65E59" w:rsidRDefault="00074FA8" w:rsidP="00074FA8"/>
        </w:tc>
        <w:tc>
          <w:tcPr>
            <w:tcW w:w="3642" w:type="dxa"/>
          </w:tcPr>
          <w:p w14:paraId="670666EE" w14:textId="77777777" w:rsidR="00074FA8" w:rsidRPr="00A65E59" w:rsidRDefault="00074FA8" w:rsidP="00074FA8"/>
        </w:tc>
        <w:tc>
          <w:tcPr>
            <w:tcW w:w="3642" w:type="dxa"/>
          </w:tcPr>
          <w:p w14:paraId="7BA79C1D" w14:textId="77777777" w:rsidR="00074FA8" w:rsidRPr="00A65E59" w:rsidRDefault="00074FA8" w:rsidP="00074FA8"/>
        </w:tc>
      </w:tr>
      <w:tr w:rsidR="00074FA8" w:rsidRPr="00A65E59" w14:paraId="61C6705F" w14:textId="77777777" w:rsidTr="00074FA8">
        <w:tc>
          <w:tcPr>
            <w:tcW w:w="2038" w:type="dxa"/>
          </w:tcPr>
          <w:p w14:paraId="39E47415" w14:textId="77777777" w:rsidR="00074FA8" w:rsidRPr="00A65E59" w:rsidRDefault="00074FA8" w:rsidP="00074FA8"/>
        </w:tc>
        <w:tc>
          <w:tcPr>
            <w:tcW w:w="2039" w:type="dxa"/>
          </w:tcPr>
          <w:p w14:paraId="0C46298A" w14:textId="77777777" w:rsidR="00074FA8" w:rsidRPr="00A65E59" w:rsidRDefault="00074FA8" w:rsidP="00074FA8"/>
        </w:tc>
        <w:tc>
          <w:tcPr>
            <w:tcW w:w="2639" w:type="dxa"/>
          </w:tcPr>
          <w:p w14:paraId="7AB459C9" w14:textId="77777777" w:rsidR="00074FA8" w:rsidRPr="00A65E59" w:rsidRDefault="00074FA8" w:rsidP="00074FA8"/>
        </w:tc>
        <w:tc>
          <w:tcPr>
            <w:tcW w:w="3642" w:type="dxa"/>
          </w:tcPr>
          <w:p w14:paraId="73E57F3C" w14:textId="77777777" w:rsidR="00074FA8" w:rsidRPr="00A65E59" w:rsidRDefault="00074FA8" w:rsidP="00074FA8"/>
        </w:tc>
        <w:tc>
          <w:tcPr>
            <w:tcW w:w="3642" w:type="dxa"/>
          </w:tcPr>
          <w:p w14:paraId="464F0D85" w14:textId="77777777" w:rsidR="00074FA8" w:rsidRPr="00A65E59" w:rsidRDefault="00074FA8" w:rsidP="00074FA8"/>
        </w:tc>
      </w:tr>
      <w:tr w:rsidR="00074FA8" w:rsidRPr="00A65E59" w14:paraId="48C602B4" w14:textId="77777777" w:rsidTr="00074FA8">
        <w:tc>
          <w:tcPr>
            <w:tcW w:w="2038" w:type="dxa"/>
          </w:tcPr>
          <w:p w14:paraId="14D1CA2D" w14:textId="77777777" w:rsidR="00074FA8" w:rsidRPr="00A65E59" w:rsidRDefault="00074FA8" w:rsidP="00074FA8"/>
        </w:tc>
        <w:tc>
          <w:tcPr>
            <w:tcW w:w="2039" w:type="dxa"/>
          </w:tcPr>
          <w:p w14:paraId="4F45D5C5" w14:textId="77777777" w:rsidR="00074FA8" w:rsidRPr="00A65E59" w:rsidRDefault="00074FA8" w:rsidP="00074FA8"/>
        </w:tc>
        <w:tc>
          <w:tcPr>
            <w:tcW w:w="2639" w:type="dxa"/>
          </w:tcPr>
          <w:p w14:paraId="4526D3F6" w14:textId="77777777" w:rsidR="00074FA8" w:rsidRPr="00A65E59" w:rsidRDefault="00074FA8" w:rsidP="00074FA8"/>
        </w:tc>
        <w:tc>
          <w:tcPr>
            <w:tcW w:w="3642" w:type="dxa"/>
          </w:tcPr>
          <w:p w14:paraId="7D9E65B2" w14:textId="77777777" w:rsidR="00074FA8" w:rsidRPr="00A65E59" w:rsidRDefault="00074FA8" w:rsidP="00074FA8"/>
        </w:tc>
        <w:tc>
          <w:tcPr>
            <w:tcW w:w="3642" w:type="dxa"/>
          </w:tcPr>
          <w:p w14:paraId="40B05BFE" w14:textId="77777777" w:rsidR="00074FA8" w:rsidRPr="00A65E59" w:rsidRDefault="00074FA8" w:rsidP="00074FA8"/>
        </w:tc>
      </w:tr>
    </w:tbl>
    <w:p w14:paraId="6F628EA7" w14:textId="77777777" w:rsidR="00074FA8" w:rsidRDefault="00074FA8" w:rsidP="00074FA8">
      <w:pPr>
        <w:spacing w:after="160"/>
      </w:pPr>
      <w:r>
        <w:t>Tabel 4: Ondermodule herzieningsrisico voor Levensverzekeringen en Ziekteverzekeringen – Artikel 104 (7) van de Solvency II Richtlijn.</w:t>
      </w:r>
    </w:p>
    <w:p w14:paraId="33077FA6" w14:textId="77777777" w:rsidR="00074FA8" w:rsidRDefault="00074FA8" w:rsidP="00074FA8">
      <w:pPr>
        <w:spacing w:after="160"/>
      </w:pPr>
    </w:p>
    <w:p w14:paraId="41B8DB32" w14:textId="77777777" w:rsidR="00074FA8" w:rsidRDefault="00074FA8" w:rsidP="00074FA8">
      <w:pPr>
        <w:spacing w:after="160"/>
      </w:pPr>
      <w:r>
        <w:t>NB: Tabel dient ingevuld te worden voor iedere onderneming afzonderlijk</w:t>
      </w:r>
      <w:r w:rsidR="000B3831">
        <w:t>,</w:t>
      </w:r>
      <w:r>
        <w:t xml:space="preserve"> zoals vermeld in regel 2 en 6 van tabel 1</w:t>
      </w:r>
      <w:r w:rsidR="000B3831">
        <w:t>,</w:t>
      </w:r>
      <w:r w:rsidR="003D6045">
        <w:t xml:space="preserve"> die een ondernemingsspecifieke stijging van het bedrag van de lijfrente-uitkeringen toepast ter vervangi</w:t>
      </w:r>
      <w:r w:rsidR="00A10E45">
        <w:t xml:space="preserve">ng van het percentage zoals vastgesteld is </w:t>
      </w:r>
      <w:r w:rsidR="003D6045">
        <w:t xml:space="preserve">in </w:t>
      </w:r>
      <w:r w:rsidR="00E77E0B">
        <w:t>A</w:t>
      </w:r>
      <w:r w:rsidR="00A10E45">
        <w:t xml:space="preserve">rtikel 141 (Leven) </w:t>
      </w:r>
      <w:r w:rsidR="00E77E0B">
        <w:t>en Artikel 158 (Ziekte) van de G</w:t>
      </w:r>
      <w:r w:rsidR="00A10E45">
        <w:t xml:space="preserve">edelegeerde </w:t>
      </w:r>
      <w:r w:rsidR="00E77E0B">
        <w:t>V</w:t>
      </w:r>
      <w:r w:rsidR="00A10E45">
        <w:t>erordening 2015/35</w:t>
      </w:r>
      <w:r>
        <w:t xml:space="preserve">. Voor de begrippen “Tijdsduur” en “Geloofwaardigheidsfactor” wordt verwezen naar </w:t>
      </w:r>
      <w:r w:rsidR="00E77E0B">
        <w:t>A</w:t>
      </w:r>
      <w:r w:rsidR="00FB08A5">
        <w:t>fdeling</w:t>
      </w:r>
      <w:r w:rsidR="002D6445">
        <w:t xml:space="preserve"> G van </w:t>
      </w:r>
      <w:r w:rsidR="00E77E0B">
        <w:t>B</w:t>
      </w:r>
      <w:r w:rsidR="002D6445">
        <w:t>ijlage XVII van de Gedelegeerde V</w:t>
      </w:r>
      <w:r>
        <w:t xml:space="preserve">erordening 2015/35. </w:t>
      </w:r>
    </w:p>
    <w:p w14:paraId="6BBDE979" w14:textId="77777777" w:rsidR="00425E9E" w:rsidRDefault="00425E9E" w:rsidP="00074FA8">
      <w:pPr>
        <w:spacing w:after="160"/>
      </w:pPr>
    </w:p>
    <w:p w14:paraId="6FB2BEC4" w14:textId="77777777" w:rsidR="00074FA8" w:rsidRDefault="00074FA8" w:rsidP="00074FA8">
      <w:pPr>
        <w:spacing w:after="160"/>
      </w:pPr>
      <w:r>
        <w:t>Legenda:</w:t>
      </w:r>
    </w:p>
    <w:p w14:paraId="374D5020" w14:textId="77777777" w:rsidR="00074FA8" w:rsidRDefault="00074FA8" w:rsidP="00FB08A5">
      <w:pPr>
        <w:pStyle w:val="Lijstalinea"/>
        <w:numPr>
          <w:ilvl w:val="0"/>
          <w:numId w:val="9"/>
        </w:numPr>
        <w:spacing w:after="160"/>
        <w:ind w:left="426" w:hanging="426"/>
      </w:pPr>
      <w:r>
        <w:t>= Segment</w:t>
      </w:r>
      <w:r w:rsidR="00FB08A5">
        <w:t xml:space="preserve"> waarop het herzieningsrisico betrekking heeft; Leven of Ziekte</w:t>
      </w:r>
    </w:p>
    <w:p w14:paraId="2C07BD42" w14:textId="77777777" w:rsidR="00074FA8" w:rsidRDefault="00074FA8" w:rsidP="00FB08A5">
      <w:pPr>
        <w:pStyle w:val="Lijstalinea"/>
        <w:numPr>
          <w:ilvl w:val="0"/>
          <w:numId w:val="9"/>
        </w:numPr>
        <w:spacing w:after="160"/>
        <w:ind w:left="426" w:hanging="426"/>
      </w:pPr>
      <w:r>
        <w:t>= Solo of Groep waarop de USP’s betrekking hebben.</w:t>
      </w:r>
    </w:p>
    <w:p w14:paraId="3FF45A74" w14:textId="77777777" w:rsidR="00074FA8" w:rsidRDefault="00074FA8" w:rsidP="00FB08A5">
      <w:pPr>
        <w:pStyle w:val="Lijstalinea"/>
        <w:numPr>
          <w:ilvl w:val="0"/>
          <w:numId w:val="9"/>
        </w:numPr>
        <w:spacing w:after="160"/>
        <w:ind w:left="426" w:hanging="426"/>
      </w:pPr>
      <w:r>
        <w:t xml:space="preserve">= </w:t>
      </w:r>
      <w:r w:rsidR="00FB08A5">
        <w:t xml:space="preserve">Ondernemingsspecifieke stijging </w:t>
      </w:r>
      <w:r w:rsidR="00425E9E">
        <w:t xml:space="preserve">in procenten </w:t>
      </w:r>
      <w:r w:rsidR="00FB08A5">
        <w:t>van het bedrag van de lijfrente-uitkeringen</w:t>
      </w:r>
      <w:r>
        <w:t>.</w:t>
      </w:r>
    </w:p>
    <w:p w14:paraId="1C3EE6F0" w14:textId="77777777" w:rsidR="00074FA8" w:rsidRDefault="00074FA8" w:rsidP="00FB08A5">
      <w:pPr>
        <w:pStyle w:val="Lijstalinea"/>
        <w:numPr>
          <w:ilvl w:val="0"/>
          <w:numId w:val="9"/>
        </w:numPr>
        <w:spacing w:after="160"/>
        <w:ind w:left="426" w:hanging="426"/>
      </w:pPr>
      <w:r>
        <w:t xml:space="preserve">= Tijdsduur in jaren voor het </w:t>
      </w:r>
      <w:r w:rsidR="003D6045">
        <w:t>herzienings</w:t>
      </w:r>
      <w:r>
        <w:t>risico.</w:t>
      </w:r>
    </w:p>
    <w:p w14:paraId="342E5403" w14:textId="77777777" w:rsidR="00074FA8" w:rsidRDefault="00074FA8" w:rsidP="00FB08A5">
      <w:pPr>
        <w:pStyle w:val="Lijstalinea"/>
        <w:numPr>
          <w:ilvl w:val="0"/>
          <w:numId w:val="9"/>
        </w:numPr>
        <w:spacing w:after="160"/>
        <w:ind w:left="426" w:hanging="426"/>
      </w:pPr>
      <w:r>
        <w:t xml:space="preserve">= Geloofwaardigheidsfactor in procenten voor het </w:t>
      </w:r>
      <w:r w:rsidR="003D6045">
        <w:t>herzienings</w:t>
      </w:r>
      <w:r>
        <w:t>risico.</w:t>
      </w:r>
    </w:p>
    <w:p w14:paraId="7059D439" w14:textId="77777777" w:rsidR="00074FA8" w:rsidRDefault="00074FA8" w:rsidP="003D6045">
      <w:pPr>
        <w:pStyle w:val="Lijstalinea"/>
        <w:spacing w:after="160"/>
        <w:ind w:left="426"/>
      </w:pPr>
    </w:p>
    <w:p w14:paraId="412F8671" w14:textId="77777777" w:rsidR="001D0B72" w:rsidRDefault="001D0B72">
      <w:pPr>
        <w:spacing w:after="160"/>
      </w:pPr>
      <w:r>
        <w:br w:type="page"/>
      </w:r>
    </w:p>
    <w:p w14:paraId="57458114" w14:textId="77777777" w:rsidR="00EA2CBC" w:rsidRDefault="00EA2CBC">
      <w:pPr>
        <w:spacing w:after="160"/>
      </w:pPr>
      <w:r>
        <w:lastRenderedPageBreak/>
        <w:t>Tabel 5: Governance</w:t>
      </w:r>
      <w:r w:rsidR="0015292F">
        <w:t xml:space="preserve"> </w:t>
      </w:r>
    </w:p>
    <w:tbl>
      <w:tblPr>
        <w:tblStyle w:val="Tabelraster"/>
        <w:tblpPr w:leftFromText="141" w:rightFromText="141" w:horzAnchor="margin" w:tblpY="615"/>
        <w:tblW w:w="13509" w:type="dxa"/>
        <w:tblLook w:val="04A0" w:firstRow="1" w:lastRow="0" w:firstColumn="1" w:lastColumn="0" w:noHBand="0" w:noVBand="1"/>
      </w:tblPr>
      <w:tblGrid>
        <w:gridCol w:w="784"/>
        <w:gridCol w:w="10664"/>
        <w:gridCol w:w="2061"/>
      </w:tblGrid>
      <w:tr w:rsidR="008D1B3F" w14:paraId="3DE149A1" w14:textId="77777777" w:rsidTr="008D1B3F">
        <w:tc>
          <w:tcPr>
            <w:tcW w:w="11448" w:type="dxa"/>
            <w:gridSpan w:val="2"/>
            <w:shd w:val="clear" w:color="auto" w:fill="D9D9D9" w:themeFill="background1" w:themeFillShade="D9"/>
          </w:tcPr>
          <w:p w14:paraId="2075C8EA" w14:textId="77777777" w:rsidR="008D1B3F" w:rsidRPr="008D1B3F" w:rsidRDefault="008D1B3F" w:rsidP="00A10E45">
            <w:pPr>
              <w:rPr>
                <w:b/>
              </w:rPr>
            </w:pPr>
            <w:r w:rsidRPr="008D1B3F">
              <w:rPr>
                <w:b/>
              </w:rPr>
              <w:t>Governance</w:t>
            </w:r>
          </w:p>
        </w:tc>
        <w:tc>
          <w:tcPr>
            <w:tcW w:w="2061" w:type="dxa"/>
            <w:shd w:val="clear" w:color="auto" w:fill="D9D9D9" w:themeFill="background1" w:themeFillShade="D9"/>
          </w:tcPr>
          <w:p w14:paraId="61A97B05" w14:textId="77777777" w:rsidR="008D1B3F" w:rsidRPr="008D1B3F" w:rsidRDefault="008D1B3F" w:rsidP="00A10E45">
            <w:pPr>
              <w:rPr>
                <w:b/>
              </w:rPr>
            </w:pPr>
            <w:r w:rsidRPr="008D1B3F">
              <w:rPr>
                <w:b/>
              </w:rPr>
              <w:t>Referentie naar document(en)</w:t>
            </w:r>
          </w:p>
        </w:tc>
      </w:tr>
      <w:tr w:rsidR="008D1B3F" w14:paraId="7EA2C32F" w14:textId="77777777" w:rsidTr="008D1B3F">
        <w:tc>
          <w:tcPr>
            <w:tcW w:w="784" w:type="dxa"/>
            <w:shd w:val="clear" w:color="auto" w:fill="FFFFFF" w:themeFill="background1"/>
          </w:tcPr>
          <w:p w14:paraId="06D28507" w14:textId="77777777" w:rsidR="008D1B3F" w:rsidRDefault="008D1B3F" w:rsidP="00A10E45">
            <w:r>
              <w:t>1</w:t>
            </w:r>
          </w:p>
        </w:tc>
        <w:tc>
          <w:tcPr>
            <w:tcW w:w="10664" w:type="dxa"/>
            <w:shd w:val="clear" w:color="auto" w:fill="FFFFFF" w:themeFill="background1"/>
          </w:tcPr>
          <w:p w14:paraId="5546015C" w14:textId="77777777" w:rsidR="008D1B3F" w:rsidRDefault="008D1B3F" w:rsidP="00A10E45">
            <w:r>
              <w:t>Verstrek gedetailleerde informatie over de governance in relatie tot de USP’s, in het bijzonder over de rol van de actuariële functie met betrekking tot de beoordeling van de kwaliteit van de gegevens. Dit is inclusief:</w:t>
            </w:r>
          </w:p>
          <w:p w14:paraId="79AEF984" w14:textId="77777777" w:rsidR="008D1B3F" w:rsidRDefault="008D1B3F" w:rsidP="00EA2CBC">
            <w:pPr>
              <w:pStyle w:val="Lijstalinea"/>
              <w:numPr>
                <w:ilvl w:val="0"/>
                <w:numId w:val="6"/>
              </w:numPr>
            </w:pPr>
            <w:r>
              <w:t>Definiëren van de materiële aanpassingen waarbij de toezichthouder dient te worden geïnformeerd.</w:t>
            </w:r>
          </w:p>
          <w:p w14:paraId="48A727A7" w14:textId="77777777" w:rsidR="008D1B3F" w:rsidRDefault="008D1B3F" w:rsidP="00EA2CBC">
            <w:pPr>
              <w:pStyle w:val="Lijstalinea"/>
              <w:numPr>
                <w:ilvl w:val="0"/>
                <w:numId w:val="6"/>
              </w:numPr>
            </w:pPr>
            <w:r>
              <w:t>Bepalen van de criteria en procedures die ingesteld moeten worden om aan de relevante toezichtautoriteiten te kunnen rapporteren;</w:t>
            </w:r>
          </w:p>
          <w:p w14:paraId="4FA8FE52" w14:textId="77777777" w:rsidR="008D1B3F" w:rsidRDefault="008D1B3F" w:rsidP="00425E9E">
            <w:pPr>
              <w:pStyle w:val="Lijstalinea"/>
              <w:numPr>
                <w:ilvl w:val="0"/>
                <w:numId w:val="6"/>
              </w:numPr>
            </w:pPr>
            <w:r>
              <w:t>Toelichten hoe gewaarborgd wordt dat continu wordt voldaan aan de voorwaarden ten aanzien van de USP’s.</w:t>
            </w:r>
          </w:p>
        </w:tc>
        <w:tc>
          <w:tcPr>
            <w:tcW w:w="2061" w:type="dxa"/>
            <w:shd w:val="clear" w:color="auto" w:fill="FFFFFF" w:themeFill="background1"/>
          </w:tcPr>
          <w:p w14:paraId="213162A9" w14:textId="77777777" w:rsidR="008D1B3F" w:rsidRDefault="008D1B3F" w:rsidP="00A10E45"/>
        </w:tc>
      </w:tr>
      <w:tr w:rsidR="008D1B3F" w14:paraId="40F4ACE8" w14:textId="77777777" w:rsidTr="008D1B3F">
        <w:tc>
          <w:tcPr>
            <w:tcW w:w="784" w:type="dxa"/>
            <w:shd w:val="clear" w:color="auto" w:fill="FFFFFF" w:themeFill="background1"/>
          </w:tcPr>
          <w:p w14:paraId="4526E174" w14:textId="77777777" w:rsidR="008D1B3F" w:rsidRDefault="008D1B3F" w:rsidP="00A10E45">
            <w:r>
              <w:t>2</w:t>
            </w:r>
          </w:p>
        </w:tc>
        <w:tc>
          <w:tcPr>
            <w:tcW w:w="10664" w:type="dxa"/>
            <w:shd w:val="clear" w:color="auto" w:fill="FFFFFF" w:themeFill="background1"/>
          </w:tcPr>
          <w:p w14:paraId="7FA3F0E2" w14:textId="77777777" w:rsidR="008D1B3F" w:rsidRDefault="00407F08" w:rsidP="00407F08">
            <w:r>
              <w:t>Licht toe of e</w:t>
            </w:r>
            <w:r w:rsidR="008D1B3F">
              <w:t xml:space="preserve">n in welke mate er vertrouwd wordt op </w:t>
            </w:r>
            <w:r>
              <w:t>een door een interne audit of externe beoordelingen gebaseer</w:t>
            </w:r>
            <w:r w:rsidR="008D1B3F">
              <w:t xml:space="preserve">de kwaliteitsgarantie van de solvabiliteitskapitaalvereiste. Verwerk in het antwoord de aard van de kwaliteitsgarantie en de scope van de beoordeling. </w:t>
            </w:r>
          </w:p>
        </w:tc>
        <w:tc>
          <w:tcPr>
            <w:tcW w:w="2061" w:type="dxa"/>
            <w:shd w:val="clear" w:color="auto" w:fill="FFFFFF" w:themeFill="background1"/>
          </w:tcPr>
          <w:p w14:paraId="4F5D14D2" w14:textId="77777777" w:rsidR="008D1B3F" w:rsidRDefault="008D1B3F" w:rsidP="00A10E45"/>
        </w:tc>
      </w:tr>
      <w:tr w:rsidR="008D1B3F" w:rsidRPr="007C5373" w14:paraId="5C09E6D0" w14:textId="77777777" w:rsidTr="008D1B3F">
        <w:tc>
          <w:tcPr>
            <w:tcW w:w="784" w:type="dxa"/>
            <w:shd w:val="clear" w:color="auto" w:fill="FFFFFF" w:themeFill="background1"/>
          </w:tcPr>
          <w:p w14:paraId="059A1A59" w14:textId="77777777" w:rsidR="008D1B3F" w:rsidRDefault="008D1B3F" w:rsidP="00A10E45">
            <w:r>
              <w:t>3</w:t>
            </w:r>
          </w:p>
        </w:tc>
        <w:tc>
          <w:tcPr>
            <w:tcW w:w="10664" w:type="dxa"/>
            <w:shd w:val="clear" w:color="auto" w:fill="FFFFFF" w:themeFill="background1"/>
          </w:tcPr>
          <w:p w14:paraId="03F1888D" w14:textId="77777777" w:rsidR="008D1B3F" w:rsidRPr="007C5373" w:rsidRDefault="008D1B3F" w:rsidP="00A10E45">
            <w:r>
              <w:t>Verstrek een kopie van het actuele beleid ten aanzien van de datakwaliteit inclusief details over de governance ten aanzien van het deskundigheidsoordeel voor de USP’s.</w:t>
            </w:r>
          </w:p>
        </w:tc>
        <w:tc>
          <w:tcPr>
            <w:tcW w:w="2061" w:type="dxa"/>
            <w:shd w:val="clear" w:color="auto" w:fill="FFFFFF" w:themeFill="background1"/>
          </w:tcPr>
          <w:p w14:paraId="64102FE2" w14:textId="77777777" w:rsidR="008D1B3F" w:rsidRDefault="008D1B3F" w:rsidP="00A10E45"/>
        </w:tc>
      </w:tr>
      <w:tr w:rsidR="008D1B3F" w:rsidRPr="00A65E59" w14:paraId="455300B9" w14:textId="77777777" w:rsidTr="008D1B3F">
        <w:tc>
          <w:tcPr>
            <w:tcW w:w="784" w:type="dxa"/>
            <w:shd w:val="clear" w:color="auto" w:fill="FFFFFF" w:themeFill="background1"/>
          </w:tcPr>
          <w:p w14:paraId="02E8A11E" w14:textId="77777777" w:rsidR="008D1B3F" w:rsidRDefault="008D1B3F" w:rsidP="00A10E45">
            <w:r>
              <w:t>4</w:t>
            </w:r>
          </w:p>
        </w:tc>
        <w:tc>
          <w:tcPr>
            <w:tcW w:w="10664" w:type="dxa"/>
            <w:shd w:val="clear" w:color="auto" w:fill="FFFFFF" w:themeFill="background1"/>
          </w:tcPr>
          <w:p w14:paraId="3179B06D" w14:textId="77777777" w:rsidR="008D1B3F" w:rsidRPr="00A65E59" w:rsidRDefault="008D1B3F" w:rsidP="002D6445">
            <w:r w:rsidRPr="00A65E59">
              <w:t xml:space="preserve">Toon aan dat </w:t>
            </w:r>
            <w:r>
              <w:t>de gegevens en de achterliggende verwerkingsprocessen zorgvuldig zijn vastgelegd conform Artikel 219 van de Gedelegeerde Verordening 2015/35.</w:t>
            </w:r>
          </w:p>
        </w:tc>
        <w:tc>
          <w:tcPr>
            <w:tcW w:w="2061" w:type="dxa"/>
            <w:shd w:val="clear" w:color="auto" w:fill="FFFFFF" w:themeFill="background1"/>
          </w:tcPr>
          <w:p w14:paraId="247205BE" w14:textId="77777777" w:rsidR="008D1B3F" w:rsidRPr="00A65E59" w:rsidRDefault="008D1B3F" w:rsidP="002D6445"/>
        </w:tc>
      </w:tr>
    </w:tbl>
    <w:p w14:paraId="1C4F839D" w14:textId="77777777" w:rsidR="00933BD7" w:rsidRDefault="00933BD7">
      <w:pPr>
        <w:spacing w:after="160"/>
      </w:pPr>
      <w:r>
        <w:br w:type="page"/>
      </w:r>
    </w:p>
    <w:tbl>
      <w:tblPr>
        <w:tblStyle w:val="Tabelraster"/>
        <w:tblpPr w:leftFromText="141" w:rightFromText="141" w:horzAnchor="margin" w:tblpY="615"/>
        <w:tblW w:w="13509" w:type="dxa"/>
        <w:tblLook w:val="04A0" w:firstRow="1" w:lastRow="0" w:firstColumn="1" w:lastColumn="0" w:noHBand="0" w:noVBand="1"/>
      </w:tblPr>
      <w:tblGrid>
        <w:gridCol w:w="801"/>
        <w:gridCol w:w="10647"/>
        <w:gridCol w:w="2061"/>
      </w:tblGrid>
      <w:tr w:rsidR="00FA3186" w14:paraId="2A17F111" w14:textId="77777777" w:rsidTr="00FA3186">
        <w:tc>
          <w:tcPr>
            <w:tcW w:w="11448" w:type="dxa"/>
            <w:gridSpan w:val="2"/>
            <w:shd w:val="clear" w:color="auto" w:fill="D9D9D9" w:themeFill="background1" w:themeFillShade="D9"/>
          </w:tcPr>
          <w:p w14:paraId="3178DFAC" w14:textId="77777777" w:rsidR="00FA3186" w:rsidRPr="00FA3186" w:rsidRDefault="00FA3186" w:rsidP="009341E1">
            <w:pPr>
              <w:rPr>
                <w:b/>
              </w:rPr>
            </w:pPr>
            <w:r w:rsidRPr="00FA3186">
              <w:rPr>
                <w:b/>
              </w:rPr>
              <w:lastRenderedPageBreak/>
              <w:t>Algemene kwaliteit gegevens</w:t>
            </w:r>
          </w:p>
        </w:tc>
        <w:tc>
          <w:tcPr>
            <w:tcW w:w="2061" w:type="dxa"/>
            <w:shd w:val="clear" w:color="auto" w:fill="D9D9D9" w:themeFill="background1" w:themeFillShade="D9"/>
          </w:tcPr>
          <w:p w14:paraId="0529A7D3" w14:textId="77777777" w:rsidR="00FA3186" w:rsidRDefault="00FA3186" w:rsidP="009341E1">
            <w:r w:rsidRPr="008D1B3F">
              <w:rPr>
                <w:b/>
              </w:rPr>
              <w:t>Referentie naar document(en)</w:t>
            </w:r>
          </w:p>
        </w:tc>
      </w:tr>
      <w:tr w:rsidR="00FA3186" w14:paraId="463ACB3B" w14:textId="77777777" w:rsidTr="00FA3186">
        <w:tc>
          <w:tcPr>
            <w:tcW w:w="801" w:type="dxa"/>
            <w:shd w:val="clear" w:color="auto" w:fill="FFFFFF" w:themeFill="background1"/>
          </w:tcPr>
          <w:p w14:paraId="7387E17B" w14:textId="77777777" w:rsidR="00FA3186" w:rsidRDefault="00FA3186" w:rsidP="00A10E45">
            <w:r>
              <w:t>5</w:t>
            </w:r>
          </w:p>
        </w:tc>
        <w:tc>
          <w:tcPr>
            <w:tcW w:w="10647" w:type="dxa"/>
            <w:shd w:val="clear" w:color="auto" w:fill="FFFFFF" w:themeFill="background1"/>
          </w:tcPr>
          <w:p w14:paraId="3EE21063" w14:textId="77777777" w:rsidR="00FA3186" w:rsidRDefault="00FA3186" w:rsidP="00A10E45">
            <w:r w:rsidRPr="00FB478C">
              <w:t>Benoem alle factoren die de gegevenskwaliteit nadelig beïnvloeden en daarbij de mogelijke oplossingen.</w:t>
            </w:r>
          </w:p>
        </w:tc>
        <w:tc>
          <w:tcPr>
            <w:tcW w:w="2061" w:type="dxa"/>
            <w:shd w:val="clear" w:color="auto" w:fill="FFFFFF" w:themeFill="background1"/>
          </w:tcPr>
          <w:p w14:paraId="019B849A" w14:textId="77777777" w:rsidR="00FA3186" w:rsidRPr="00FB478C" w:rsidRDefault="00FA3186" w:rsidP="00A10E45"/>
        </w:tc>
      </w:tr>
      <w:tr w:rsidR="00FA3186" w14:paraId="39D69200" w14:textId="77777777" w:rsidTr="00FA3186">
        <w:tc>
          <w:tcPr>
            <w:tcW w:w="801" w:type="dxa"/>
            <w:shd w:val="clear" w:color="auto" w:fill="FFFFFF" w:themeFill="background1"/>
          </w:tcPr>
          <w:p w14:paraId="5893749E" w14:textId="77777777" w:rsidR="00FA3186" w:rsidRDefault="00FA3186" w:rsidP="00A10E45">
            <w:r>
              <w:t>6</w:t>
            </w:r>
          </w:p>
        </w:tc>
        <w:tc>
          <w:tcPr>
            <w:tcW w:w="10647" w:type="dxa"/>
            <w:shd w:val="clear" w:color="auto" w:fill="FFFFFF" w:themeFill="background1"/>
          </w:tcPr>
          <w:p w14:paraId="2BEDC311" w14:textId="77777777" w:rsidR="00FA3186" w:rsidRDefault="00FA3186" w:rsidP="00165347">
            <w:r w:rsidRPr="00FB478C">
              <w:t xml:space="preserve">Geef aan hoe het risicoprofiel van uw onderneming verschilt van de ondernemingen die representatief zijn voor de kalibratie van de </w:t>
            </w:r>
            <w:r>
              <w:t>s</w:t>
            </w:r>
            <w:r w:rsidRPr="00FB478C">
              <w:t>tandaard</w:t>
            </w:r>
            <w:r>
              <w:t>f</w:t>
            </w:r>
            <w:r w:rsidRPr="00FB478C">
              <w:t>ormule en waarom u van mening bent dat het passend is om USP</w:t>
            </w:r>
            <w:r>
              <w:t>’</w:t>
            </w:r>
            <w:r w:rsidRPr="00FB478C">
              <w:t>s te gebruiken bij de berekening van het solv</w:t>
            </w:r>
            <w:r>
              <w:t xml:space="preserve">abiliteitskapitaalvereiste. </w:t>
            </w:r>
            <w:r w:rsidRPr="00FB478C">
              <w:t xml:space="preserve"> </w:t>
            </w:r>
            <w:r>
              <w:t>Voor meer informatie wordt</w:t>
            </w:r>
            <w:r w:rsidRPr="00FB478C">
              <w:t xml:space="preserve"> verw</w:t>
            </w:r>
            <w:r>
              <w:t>e</w:t>
            </w:r>
            <w:r w:rsidRPr="00FB478C">
              <w:t>zen naar</w:t>
            </w:r>
            <w:r>
              <w:t xml:space="preserve"> het document</w:t>
            </w:r>
            <w:r w:rsidRPr="00FB478C">
              <w:t xml:space="preserve">: </w:t>
            </w:r>
            <w:r>
              <w:t>“</w:t>
            </w:r>
            <w:r w:rsidRPr="00FB478C">
              <w:t>Underlying Assumptions in the standard formula for the Solvency Capital Requirement calculation</w:t>
            </w:r>
            <w:r>
              <w:t>” met referentie “EIOPA-14-322”</w:t>
            </w:r>
            <w:r w:rsidRPr="00FB478C">
              <w:t>.</w:t>
            </w:r>
          </w:p>
        </w:tc>
        <w:tc>
          <w:tcPr>
            <w:tcW w:w="2061" w:type="dxa"/>
            <w:shd w:val="clear" w:color="auto" w:fill="FFFFFF" w:themeFill="background1"/>
          </w:tcPr>
          <w:p w14:paraId="5B612BB4" w14:textId="77777777" w:rsidR="00FA3186" w:rsidRPr="00FB478C" w:rsidRDefault="00FA3186" w:rsidP="00165347"/>
        </w:tc>
      </w:tr>
      <w:tr w:rsidR="00FA3186" w:rsidRPr="007C5373" w14:paraId="61A164CC" w14:textId="77777777" w:rsidTr="00FA3186">
        <w:tc>
          <w:tcPr>
            <w:tcW w:w="11448" w:type="dxa"/>
            <w:gridSpan w:val="2"/>
            <w:shd w:val="clear" w:color="auto" w:fill="D9D9D9" w:themeFill="background1" w:themeFillShade="D9"/>
          </w:tcPr>
          <w:p w14:paraId="77ABDC45" w14:textId="77777777" w:rsidR="00FA3186" w:rsidRPr="00FA3186" w:rsidRDefault="00FA3186" w:rsidP="00A10E45">
            <w:pPr>
              <w:rPr>
                <w:b/>
              </w:rPr>
            </w:pPr>
            <w:r w:rsidRPr="00FA3186">
              <w:rPr>
                <w:b/>
              </w:rPr>
              <w:t>Nauwkeurigheid van de gegevens</w:t>
            </w:r>
          </w:p>
        </w:tc>
        <w:tc>
          <w:tcPr>
            <w:tcW w:w="2061" w:type="dxa"/>
            <w:shd w:val="clear" w:color="auto" w:fill="D9D9D9" w:themeFill="background1" w:themeFillShade="D9"/>
          </w:tcPr>
          <w:p w14:paraId="172E2DD8" w14:textId="77777777" w:rsidR="00FA3186" w:rsidRPr="009341E1" w:rsidRDefault="00FA3186" w:rsidP="00A10E45">
            <w:r w:rsidRPr="008D1B3F">
              <w:rPr>
                <w:b/>
              </w:rPr>
              <w:t>Referentie naar document(en)</w:t>
            </w:r>
          </w:p>
        </w:tc>
      </w:tr>
      <w:tr w:rsidR="00FA3186" w:rsidRPr="007C5373" w14:paraId="2EDF0003" w14:textId="77777777" w:rsidTr="00FA3186">
        <w:tc>
          <w:tcPr>
            <w:tcW w:w="801" w:type="dxa"/>
            <w:shd w:val="clear" w:color="auto" w:fill="FFFFFF" w:themeFill="background1"/>
          </w:tcPr>
          <w:p w14:paraId="07A4E232" w14:textId="77777777" w:rsidR="00FA3186" w:rsidRDefault="00FA3186" w:rsidP="00A10E45">
            <w:r>
              <w:t>7</w:t>
            </w:r>
          </w:p>
        </w:tc>
        <w:tc>
          <w:tcPr>
            <w:tcW w:w="10647" w:type="dxa"/>
            <w:shd w:val="clear" w:color="auto" w:fill="FFFFFF" w:themeFill="background1"/>
          </w:tcPr>
          <w:p w14:paraId="5B8643D9" w14:textId="77777777" w:rsidR="00FA3186" w:rsidRPr="007C5373" w:rsidRDefault="00FA3186" w:rsidP="00165347">
            <w:r w:rsidRPr="00FB478C">
              <w:t>Welk</w:t>
            </w:r>
            <w:r w:rsidR="00916E32">
              <w:t>e</w:t>
            </w:r>
            <w:r w:rsidRPr="00FB478C">
              <w:t xml:space="preserve"> definitie van materiele tekortkoming gebruikt u en hoe zorgt u er voor dat deze </w:t>
            </w:r>
            <w:r>
              <w:t>tekortkomingen</w:t>
            </w:r>
            <w:r w:rsidRPr="00FB478C">
              <w:t xml:space="preserve"> zich niet voordoen in uw gegevens?</w:t>
            </w:r>
          </w:p>
        </w:tc>
        <w:tc>
          <w:tcPr>
            <w:tcW w:w="2061" w:type="dxa"/>
            <w:shd w:val="clear" w:color="auto" w:fill="FFFFFF" w:themeFill="background1"/>
          </w:tcPr>
          <w:p w14:paraId="48E5B1B3" w14:textId="77777777" w:rsidR="00FA3186" w:rsidRPr="00FB478C" w:rsidRDefault="00FA3186" w:rsidP="00165347"/>
        </w:tc>
      </w:tr>
      <w:tr w:rsidR="00FA3186" w:rsidRPr="003B21BA" w14:paraId="352B9B33" w14:textId="77777777" w:rsidTr="00FA3186">
        <w:tc>
          <w:tcPr>
            <w:tcW w:w="801" w:type="dxa"/>
            <w:shd w:val="clear" w:color="auto" w:fill="FFFFFF" w:themeFill="background1"/>
          </w:tcPr>
          <w:p w14:paraId="3C1040B7" w14:textId="77777777" w:rsidR="00FA3186" w:rsidRDefault="00FA3186" w:rsidP="00A10E45">
            <w:r>
              <w:t>8</w:t>
            </w:r>
          </w:p>
        </w:tc>
        <w:tc>
          <w:tcPr>
            <w:tcW w:w="10647" w:type="dxa"/>
            <w:shd w:val="clear" w:color="auto" w:fill="FFFFFF" w:themeFill="background1"/>
          </w:tcPr>
          <w:p w14:paraId="568F8D36" w14:textId="77777777" w:rsidR="00FA3186" w:rsidRPr="003B21BA" w:rsidRDefault="00FA3186" w:rsidP="00A10E45">
            <w:pPr>
              <w:rPr>
                <w:i/>
              </w:rPr>
            </w:pPr>
            <w:r w:rsidRPr="00165347">
              <w:t>Licht de significante aanpassingen toe die betrekking hebben op het vastleggen van de gegevens die gebruikt worden voor de berekening van de USP</w:t>
            </w:r>
            <w:r>
              <w:t>’</w:t>
            </w:r>
            <w:r w:rsidRPr="00165347">
              <w:t>s</w:t>
            </w:r>
            <w:r w:rsidRPr="00FB478C">
              <w:rPr>
                <w:i/>
              </w:rPr>
              <w:t>.</w:t>
            </w:r>
          </w:p>
        </w:tc>
        <w:tc>
          <w:tcPr>
            <w:tcW w:w="2061" w:type="dxa"/>
            <w:shd w:val="clear" w:color="auto" w:fill="FFFFFF" w:themeFill="background1"/>
          </w:tcPr>
          <w:p w14:paraId="5C293D90" w14:textId="77777777" w:rsidR="00FA3186" w:rsidRPr="00165347" w:rsidRDefault="00FA3186" w:rsidP="00A10E45"/>
        </w:tc>
      </w:tr>
      <w:tr w:rsidR="00FA3186" w14:paraId="095B9251" w14:textId="77777777" w:rsidTr="00FA3186">
        <w:tc>
          <w:tcPr>
            <w:tcW w:w="11448" w:type="dxa"/>
            <w:gridSpan w:val="2"/>
            <w:shd w:val="clear" w:color="auto" w:fill="D9D9D9" w:themeFill="background1" w:themeFillShade="D9"/>
          </w:tcPr>
          <w:p w14:paraId="64EDBDDB" w14:textId="77777777" w:rsidR="00FA3186" w:rsidRPr="00FA3186" w:rsidRDefault="00FA3186" w:rsidP="00FB478C">
            <w:pPr>
              <w:rPr>
                <w:b/>
              </w:rPr>
            </w:pPr>
            <w:r w:rsidRPr="00FA3186">
              <w:rPr>
                <w:b/>
              </w:rPr>
              <w:t>Volledigheid van de gegevens</w:t>
            </w:r>
          </w:p>
        </w:tc>
        <w:tc>
          <w:tcPr>
            <w:tcW w:w="2061" w:type="dxa"/>
            <w:shd w:val="clear" w:color="auto" w:fill="D9D9D9" w:themeFill="background1" w:themeFillShade="D9"/>
          </w:tcPr>
          <w:p w14:paraId="0F995B98" w14:textId="77777777" w:rsidR="00FA3186" w:rsidRPr="009341E1" w:rsidRDefault="00FA3186" w:rsidP="00FB478C">
            <w:r w:rsidRPr="008D1B3F">
              <w:rPr>
                <w:b/>
              </w:rPr>
              <w:t>Referentie naar document(en)</w:t>
            </w:r>
          </w:p>
        </w:tc>
      </w:tr>
      <w:tr w:rsidR="00FA3186" w14:paraId="51F71674" w14:textId="77777777" w:rsidTr="00FA3186">
        <w:tc>
          <w:tcPr>
            <w:tcW w:w="801" w:type="dxa"/>
            <w:shd w:val="clear" w:color="auto" w:fill="FFFFFF" w:themeFill="background1"/>
          </w:tcPr>
          <w:p w14:paraId="1908D477" w14:textId="77777777" w:rsidR="00FA3186" w:rsidRDefault="00FA3186" w:rsidP="00A10E45">
            <w:r>
              <w:t>9</w:t>
            </w:r>
          </w:p>
        </w:tc>
        <w:tc>
          <w:tcPr>
            <w:tcW w:w="10647" w:type="dxa"/>
            <w:shd w:val="clear" w:color="auto" w:fill="FFFFFF" w:themeFill="background1"/>
          </w:tcPr>
          <w:p w14:paraId="02CBA510" w14:textId="77777777" w:rsidR="00FA3186" w:rsidRDefault="00FA3186" w:rsidP="002D6445">
            <w:r>
              <w:t>Toon aan dat u beschikt over voldoende historische gegevens die voldoende granulair zijn om de bepaling mogelijk te maken van de volatiliteit en de onzekerheid voor iedere USP en segment. Voeg een tabel toe waarin het aantal jaren aan gegevens voor premies, verzekerde bedragen en schades wordt vermeld voor iedere USP en segment en verklaar het eventuele weglaten van gegevens bij de berekeningen.</w:t>
            </w:r>
          </w:p>
        </w:tc>
        <w:tc>
          <w:tcPr>
            <w:tcW w:w="2061" w:type="dxa"/>
            <w:shd w:val="clear" w:color="auto" w:fill="FFFFFF" w:themeFill="background1"/>
          </w:tcPr>
          <w:p w14:paraId="59880365" w14:textId="77777777" w:rsidR="00FA3186" w:rsidRDefault="00FA3186" w:rsidP="002D6445"/>
        </w:tc>
      </w:tr>
      <w:tr w:rsidR="00FA3186" w14:paraId="5FEBF65E" w14:textId="77777777" w:rsidTr="00FA3186">
        <w:tc>
          <w:tcPr>
            <w:tcW w:w="801" w:type="dxa"/>
            <w:shd w:val="clear" w:color="auto" w:fill="FFFFFF" w:themeFill="background1"/>
          </w:tcPr>
          <w:p w14:paraId="0F254C0A" w14:textId="77777777" w:rsidR="00FA3186" w:rsidRDefault="00FA3186" w:rsidP="00A10E45">
            <w:r>
              <w:t>10</w:t>
            </w:r>
          </w:p>
        </w:tc>
        <w:tc>
          <w:tcPr>
            <w:tcW w:w="10647" w:type="dxa"/>
            <w:shd w:val="clear" w:color="auto" w:fill="FFFFFF" w:themeFill="background1"/>
          </w:tcPr>
          <w:p w14:paraId="24E2E4B1" w14:textId="77777777" w:rsidR="00FA3186" w:rsidRDefault="00FA3186" w:rsidP="002D6445">
            <w:r w:rsidRPr="00FB478C">
              <w:t>Geef een samenvatting met een vergelijking van de gegevens</w:t>
            </w:r>
            <w:r>
              <w:t xml:space="preserve"> die worden gebruikt bij de USP</w:t>
            </w:r>
            <w:r w:rsidRPr="00FB478C">
              <w:t xml:space="preserve">-berekening en de Technische Voorziening (TV) en verklaar alle verschillen. Hierbij moet ook aandacht worden besteed aan </w:t>
            </w:r>
            <w:r>
              <w:t xml:space="preserve">het eventueel </w:t>
            </w:r>
            <w:r w:rsidRPr="00FB478C">
              <w:t>verschillend</w:t>
            </w:r>
            <w:r>
              <w:t>e</w:t>
            </w:r>
            <w:r w:rsidRPr="00FB478C">
              <w:t xml:space="preserve"> aantal schadejaren voor USP</w:t>
            </w:r>
            <w:r>
              <w:t>’s</w:t>
            </w:r>
            <w:r w:rsidRPr="00FB478C">
              <w:t xml:space="preserve"> en TV.</w:t>
            </w:r>
          </w:p>
        </w:tc>
        <w:tc>
          <w:tcPr>
            <w:tcW w:w="2061" w:type="dxa"/>
            <w:shd w:val="clear" w:color="auto" w:fill="FFFFFF" w:themeFill="background1"/>
          </w:tcPr>
          <w:p w14:paraId="2F6C1199" w14:textId="77777777" w:rsidR="00FA3186" w:rsidRPr="00FB478C" w:rsidRDefault="00FA3186" w:rsidP="002D6445"/>
        </w:tc>
      </w:tr>
      <w:tr w:rsidR="00FA3186" w14:paraId="6F270E55" w14:textId="77777777" w:rsidTr="00FA3186">
        <w:tc>
          <w:tcPr>
            <w:tcW w:w="801" w:type="dxa"/>
            <w:shd w:val="clear" w:color="auto" w:fill="FFFFFF" w:themeFill="background1"/>
          </w:tcPr>
          <w:p w14:paraId="7A57618A" w14:textId="77777777" w:rsidR="00FA3186" w:rsidRDefault="00FA3186" w:rsidP="00A10E45">
            <w:r>
              <w:t>11</w:t>
            </w:r>
          </w:p>
        </w:tc>
        <w:tc>
          <w:tcPr>
            <w:tcW w:w="10647" w:type="dxa"/>
            <w:shd w:val="clear" w:color="auto" w:fill="FFFFFF" w:themeFill="background1"/>
          </w:tcPr>
          <w:p w14:paraId="0545F2D5" w14:textId="77777777" w:rsidR="00FA3186" w:rsidRDefault="00FA3186" w:rsidP="002D6445">
            <w:r w:rsidRPr="00FB478C">
              <w:t>Geef de beweegreden voor het eventueel niet gebruiken van de USP</w:t>
            </w:r>
            <w:r>
              <w:t>’</w:t>
            </w:r>
            <w:r w:rsidRPr="00FB478C">
              <w:t xml:space="preserve">s voor bepaalde segmenten en bespreek daarbij de passendheid van de </w:t>
            </w:r>
            <w:r>
              <w:t>s</w:t>
            </w:r>
            <w:r w:rsidRPr="00FB478C">
              <w:t>tandaard</w:t>
            </w:r>
            <w:r>
              <w:t>f</w:t>
            </w:r>
            <w:r w:rsidRPr="00FB478C">
              <w:t xml:space="preserve">ormule voor deze segmenten. </w:t>
            </w:r>
            <w:r>
              <w:t>B</w:t>
            </w:r>
            <w:r w:rsidRPr="00FB478C">
              <w:t>etrek hierbij de segmenten</w:t>
            </w:r>
            <w:r>
              <w:t xml:space="preserve"> zoals is vastgesteld </w:t>
            </w:r>
            <w:r w:rsidRPr="00FB478C">
              <w:t>in Bijlage I van de Gedelegeerde Verordening</w:t>
            </w:r>
            <w:r>
              <w:t xml:space="preserve"> 2015/35</w:t>
            </w:r>
          </w:p>
        </w:tc>
        <w:tc>
          <w:tcPr>
            <w:tcW w:w="2061" w:type="dxa"/>
            <w:shd w:val="clear" w:color="auto" w:fill="FFFFFF" w:themeFill="background1"/>
          </w:tcPr>
          <w:p w14:paraId="6781870E" w14:textId="77777777" w:rsidR="00FA3186" w:rsidRPr="00FB478C" w:rsidRDefault="00FA3186" w:rsidP="002D6445"/>
        </w:tc>
      </w:tr>
      <w:tr w:rsidR="00FA3186" w14:paraId="30F3D582" w14:textId="77777777" w:rsidTr="00FA3186">
        <w:tc>
          <w:tcPr>
            <w:tcW w:w="11448" w:type="dxa"/>
            <w:gridSpan w:val="2"/>
            <w:shd w:val="clear" w:color="auto" w:fill="D9D9D9" w:themeFill="background1" w:themeFillShade="D9"/>
          </w:tcPr>
          <w:p w14:paraId="485DC272" w14:textId="77777777" w:rsidR="00FA3186" w:rsidRPr="00FA3186" w:rsidRDefault="00FA3186" w:rsidP="00A10E45">
            <w:pPr>
              <w:rPr>
                <w:b/>
              </w:rPr>
            </w:pPr>
            <w:r w:rsidRPr="00FA3186">
              <w:rPr>
                <w:b/>
              </w:rPr>
              <w:t>Passendheid van de gegevens</w:t>
            </w:r>
          </w:p>
        </w:tc>
        <w:tc>
          <w:tcPr>
            <w:tcW w:w="2061" w:type="dxa"/>
            <w:shd w:val="clear" w:color="auto" w:fill="D9D9D9" w:themeFill="background1" w:themeFillShade="D9"/>
          </w:tcPr>
          <w:p w14:paraId="4FF97B16" w14:textId="77777777" w:rsidR="00FA3186" w:rsidRPr="009341E1" w:rsidRDefault="00FA3186" w:rsidP="00A10E45">
            <w:r w:rsidRPr="008D1B3F">
              <w:rPr>
                <w:b/>
              </w:rPr>
              <w:t>Referentie naar document(en)</w:t>
            </w:r>
          </w:p>
        </w:tc>
      </w:tr>
      <w:tr w:rsidR="00FA3186" w14:paraId="6ACE55E9" w14:textId="77777777" w:rsidTr="00FA3186">
        <w:tc>
          <w:tcPr>
            <w:tcW w:w="801" w:type="dxa"/>
            <w:shd w:val="clear" w:color="auto" w:fill="FFFFFF" w:themeFill="background1"/>
          </w:tcPr>
          <w:p w14:paraId="15529FE4" w14:textId="77777777" w:rsidR="00FA3186" w:rsidRDefault="00FA3186" w:rsidP="00A10E45">
            <w:r>
              <w:t>12</w:t>
            </w:r>
          </w:p>
        </w:tc>
        <w:tc>
          <w:tcPr>
            <w:tcW w:w="10647" w:type="dxa"/>
            <w:shd w:val="clear" w:color="auto" w:fill="FFFFFF" w:themeFill="background1"/>
          </w:tcPr>
          <w:p w14:paraId="1DCCA221" w14:textId="77777777" w:rsidR="00FA3186" w:rsidRDefault="00FA3186" w:rsidP="002D6445">
            <w:r w:rsidRPr="00FB478C">
              <w:t xml:space="preserve">Laat zien </w:t>
            </w:r>
            <w:r>
              <w:t xml:space="preserve">dat </w:t>
            </w:r>
            <w:r w:rsidRPr="00FB478C">
              <w:t>de gegevens die worden gebruikt bij de berekening van de USP</w:t>
            </w:r>
            <w:r>
              <w:t>’</w:t>
            </w:r>
            <w:r w:rsidRPr="00FB478C">
              <w:t>s consistent zijn met de aannames voor de actuariële en statistische technieken die worden toegepast bij de berekening van de USP</w:t>
            </w:r>
            <w:r>
              <w:t>’</w:t>
            </w:r>
            <w:r w:rsidRPr="00FB478C">
              <w:t>s</w:t>
            </w:r>
            <w:r>
              <w:t>.</w:t>
            </w:r>
          </w:p>
        </w:tc>
        <w:tc>
          <w:tcPr>
            <w:tcW w:w="2061" w:type="dxa"/>
            <w:shd w:val="clear" w:color="auto" w:fill="FFFFFF" w:themeFill="background1"/>
          </w:tcPr>
          <w:p w14:paraId="4E749D96" w14:textId="77777777" w:rsidR="00FA3186" w:rsidRPr="00FB478C" w:rsidRDefault="00FA3186" w:rsidP="002D6445"/>
        </w:tc>
      </w:tr>
      <w:tr w:rsidR="00FA3186" w14:paraId="058ED475" w14:textId="77777777" w:rsidTr="00FA3186">
        <w:tc>
          <w:tcPr>
            <w:tcW w:w="801" w:type="dxa"/>
            <w:shd w:val="clear" w:color="auto" w:fill="FFFFFF" w:themeFill="background1"/>
          </w:tcPr>
          <w:p w14:paraId="08C2C45C" w14:textId="77777777" w:rsidR="00FA3186" w:rsidRDefault="00FA3186" w:rsidP="00A10E45">
            <w:r>
              <w:t>13</w:t>
            </w:r>
          </w:p>
        </w:tc>
        <w:tc>
          <w:tcPr>
            <w:tcW w:w="10647" w:type="dxa"/>
            <w:shd w:val="clear" w:color="auto" w:fill="FFFFFF" w:themeFill="background1"/>
          </w:tcPr>
          <w:p w14:paraId="32F3A283" w14:textId="77777777" w:rsidR="00FA3186" w:rsidRDefault="00FA3186" w:rsidP="002D6445">
            <w:r w:rsidRPr="00FB478C">
              <w:t xml:space="preserve">Beschrijf de gegevensaanpassingen voor ieder </w:t>
            </w:r>
            <w:r>
              <w:t>segment</w:t>
            </w:r>
            <w:r w:rsidRPr="00FB478C">
              <w:t xml:space="preserve"> en voor iedere USP. Beschrijf hierbij ook de validatie die is uitgevoerd om zeker te stellen dat </w:t>
            </w:r>
            <w:r>
              <w:t xml:space="preserve">de </w:t>
            </w:r>
            <w:r w:rsidR="00916E32">
              <w:t>gegevens ná</w:t>
            </w:r>
            <w:r w:rsidRPr="00FB478C">
              <w:t xml:space="preserve"> de aanpassingen voldoen aan de condities van Artikel 219 van de Gedelegeerde Verordening</w:t>
            </w:r>
            <w:r>
              <w:t xml:space="preserve"> 2015/35</w:t>
            </w:r>
            <w:r w:rsidRPr="00FB478C">
              <w:t>.</w:t>
            </w:r>
          </w:p>
        </w:tc>
        <w:tc>
          <w:tcPr>
            <w:tcW w:w="2061" w:type="dxa"/>
            <w:shd w:val="clear" w:color="auto" w:fill="FFFFFF" w:themeFill="background1"/>
          </w:tcPr>
          <w:p w14:paraId="47AE520F" w14:textId="77777777" w:rsidR="00FA3186" w:rsidRPr="00FB478C" w:rsidRDefault="00FA3186" w:rsidP="002D6445"/>
        </w:tc>
      </w:tr>
      <w:tr w:rsidR="00FA3186" w14:paraId="05481134" w14:textId="77777777" w:rsidTr="00FA3186">
        <w:tc>
          <w:tcPr>
            <w:tcW w:w="801" w:type="dxa"/>
            <w:shd w:val="clear" w:color="auto" w:fill="FFFFFF" w:themeFill="background1"/>
          </w:tcPr>
          <w:p w14:paraId="53793929" w14:textId="77777777" w:rsidR="00FA3186" w:rsidRDefault="00FA3186" w:rsidP="00A10E45">
            <w:r>
              <w:t>14</w:t>
            </w:r>
          </w:p>
        </w:tc>
        <w:tc>
          <w:tcPr>
            <w:tcW w:w="10647" w:type="dxa"/>
            <w:shd w:val="clear" w:color="auto" w:fill="FFFFFF" w:themeFill="background1"/>
          </w:tcPr>
          <w:p w14:paraId="6C92BD9F" w14:textId="77777777" w:rsidR="00FA3186" w:rsidRDefault="00FA3186" w:rsidP="00A10E45">
            <w:r w:rsidRPr="00FB478C">
              <w:t>Beschrijf de aanpassingen van de historische gegevens die garanderen dat de gegevens bruikbaar zijn voor de komende 12 maanden.</w:t>
            </w:r>
          </w:p>
        </w:tc>
        <w:tc>
          <w:tcPr>
            <w:tcW w:w="2061" w:type="dxa"/>
            <w:shd w:val="clear" w:color="auto" w:fill="FFFFFF" w:themeFill="background1"/>
          </w:tcPr>
          <w:p w14:paraId="548173E6" w14:textId="77777777" w:rsidR="00FA3186" w:rsidRPr="00FB478C" w:rsidRDefault="00FA3186" w:rsidP="00A10E45"/>
        </w:tc>
      </w:tr>
      <w:tr w:rsidR="00FA3186" w14:paraId="2CD018BC" w14:textId="77777777" w:rsidTr="00FA3186">
        <w:tc>
          <w:tcPr>
            <w:tcW w:w="801" w:type="dxa"/>
            <w:shd w:val="clear" w:color="auto" w:fill="FFFFFF" w:themeFill="background1"/>
          </w:tcPr>
          <w:p w14:paraId="38C8B8C7" w14:textId="77777777" w:rsidR="00FA3186" w:rsidRDefault="00FA3186" w:rsidP="00A10E45">
            <w:r>
              <w:t>15</w:t>
            </w:r>
          </w:p>
        </w:tc>
        <w:tc>
          <w:tcPr>
            <w:tcW w:w="10647" w:type="dxa"/>
            <w:shd w:val="clear" w:color="auto" w:fill="FFFFFF" w:themeFill="background1"/>
          </w:tcPr>
          <w:p w14:paraId="07658FAD" w14:textId="77777777" w:rsidR="00FA3186" w:rsidRPr="00FB478C" w:rsidRDefault="00FA3186" w:rsidP="00A10E45">
            <w:r w:rsidRPr="00FB478C">
              <w:t>Beschrijf het proces en de frequentie van de periodieke gegevensaanpassing en geef ook aan welke triggers kunnen leiden tot extra aanpassingen van de gegevens.</w:t>
            </w:r>
          </w:p>
        </w:tc>
        <w:tc>
          <w:tcPr>
            <w:tcW w:w="2061" w:type="dxa"/>
            <w:shd w:val="clear" w:color="auto" w:fill="FFFFFF" w:themeFill="background1"/>
          </w:tcPr>
          <w:p w14:paraId="5E458A1B" w14:textId="77777777" w:rsidR="00FA3186" w:rsidRPr="00FB478C" w:rsidRDefault="00FA3186" w:rsidP="00A10E45"/>
        </w:tc>
      </w:tr>
    </w:tbl>
    <w:p w14:paraId="46519F7D" w14:textId="77777777" w:rsidR="006C1347" w:rsidRDefault="006C1347" w:rsidP="006C1347">
      <w:r w:rsidRPr="00425E9E">
        <w:t xml:space="preserve">Tabel 6: Algemene criteria betreffende gegevens – Artikel 219 van de Gedelegeerde Verordening </w:t>
      </w:r>
      <w:r>
        <w:t>2015/35</w:t>
      </w:r>
    </w:p>
    <w:p w14:paraId="44606B48" w14:textId="77777777" w:rsidR="00EA5E64" w:rsidRDefault="00EA5E64">
      <w:r>
        <w:br w:type="page"/>
      </w:r>
    </w:p>
    <w:tbl>
      <w:tblPr>
        <w:tblStyle w:val="Tabelraster"/>
        <w:tblpPr w:leftFromText="141" w:rightFromText="141" w:horzAnchor="margin" w:tblpY="615"/>
        <w:tblW w:w="13509" w:type="dxa"/>
        <w:tblLook w:val="04A0" w:firstRow="1" w:lastRow="0" w:firstColumn="1" w:lastColumn="0" w:noHBand="0" w:noVBand="1"/>
      </w:tblPr>
      <w:tblGrid>
        <w:gridCol w:w="799"/>
        <w:gridCol w:w="10649"/>
        <w:gridCol w:w="2061"/>
      </w:tblGrid>
      <w:tr w:rsidR="00FA3186" w14:paraId="7378885A" w14:textId="77777777" w:rsidTr="00FA3186">
        <w:tc>
          <w:tcPr>
            <w:tcW w:w="11448" w:type="dxa"/>
            <w:gridSpan w:val="2"/>
            <w:shd w:val="clear" w:color="auto" w:fill="D9D9D9" w:themeFill="background1" w:themeFillShade="D9"/>
          </w:tcPr>
          <w:p w14:paraId="42008013" w14:textId="77777777" w:rsidR="00FA3186" w:rsidRPr="00FA3186" w:rsidRDefault="00FA3186" w:rsidP="00A10E45">
            <w:pPr>
              <w:rPr>
                <w:b/>
              </w:rPr>
            </w:pPr>
            <w:r>
              <w:rPr>
                <w:b/>
              </w:rPr>
              <w:lastRenderedPageBreak/>
              <w:t xml:space="preserve">Externe gegevens (alleen </w:t>
            </w:r>
            <w:r w:rsidRPr="00FA3186">
              <w:rPr>
                <w:b/>
              </w:rPr>
              <w:t xml:space="preserve">in te vullen als u gebruikmaakt van externe gegevens zoals gedefinieerd in de </w:t>
            </w:r>
            <w:r>
              <w:rPr>
                <w:b/>
              </w:rPr>
              <w:t xml:space="preserve">Solvency II </w:t>
            </w:r>
            <w:r w:rsidRPr="00FA3186">
              <w:rPr>
                <w:b/>
              </w:rPr>
              <w:t>Richtlijn)</w:t>
            </w:r>
          </w:p>
        </w:tc>
        <w:tc>
          <w:tcPr>
            <w:tcW w:w="2061" w:type="dxa"/>
            <w:shd w:val="clear" w:color="auto" w:fill="D9D9D9" w:themeFill="background1" w:themeFillShade="D9"/>
          </w:tcPr>
          <w:p w14:paraId="283E275B" w14:textId="77777777" w:rsidR="00FA3186" w:rsidRPr="00FA3186" w:rsidRDefault="00FA3186" w:rsidP="00A10E45">
            <w:pPr>
              <w:rPr>
                <w:b/>
                <w:shd w:val="clear" w:color="auto" w:fill="C5E0B3" w:themeFill="accent6" w:themeFillTint="66"/>
              </w:rPr>
            </w:pPr>
            <w:r w:rsidRPr="008D1B3F">
              <w:rPr>
                <w:b/>
              </w:rPr>
              <w:t>Referentie naar document(en)</w:t>
            </w:r>
          </w:p>
        </w:tc>
      </w:tr>
      <w:tr w:rsidR="00FA3186" w14:paraId="78EA06F5" w14:textId="77777777" w:rsidTr="00FA3186">
        <w:tc>
          <w:tcPr>
            <w:tcW w:w="799" w:type="dxa"/>
            <w:shd w:val="clear" w:color="auto" w:fill="FFFFFF" w:themeFill="background1"/>
          </w:tcPr>
          <w:p w14:paraId="7213CAAC" w14:textId="77777777" w:rsidR="00FA3186" w:rsidRDefault="00FA3186" w:rsidP="00A10E45">
            <w:r>
              <w:t>16</w:t>
            </w:r>
          </w:p>
        </w:tc>
        <w:tc>
          <w:tcPr>
            <w:tcW w:w="10649" w:type="dxa"/>
            <w:shd w:val="clear" w:color="auto" w:fill="FFFFFF" w:themeFill="background1"/>
          </w:tcPr>
          <w:p w14:paraId="7C530A90" w14:textId="77777777" w:rsidR="00FA3186" w:rsidRPr="00FB478C" w:rsidRDefault="00FA3186" w:rsidP="00A10E45">
            <w:r w:rsidRPr="00FB478C">
              <w:t>Geef aan waarom de externe gegevens geschikter zijn voo</w:t>
            </w:r>
            <w:r>
              <w:t xml:space="preserve">r de berekeningen dan de intern </w:t>
            </w:r>
            <w:r w:rsidRPr="00FB478C">
              <w:t>verkregen gegevens.</w:t>
            </w:r>
          </w:p>
        </w:tc>
        <w:tc>
          <w:tcPr>
            <w:tcW w:w="2061" w:type="dxa"/>
            <w:shd w:val="clear" w:color="auto" w:fill="FFFFFF" w:themeFill="background1"/>
          </w:tcPr>
          <w:p w14:paraId="18C92DAD" w14:textId="77777777" w:rsidR="00FA3186" w:rsidRPr="00FB478C" w:rsidRDefault="00FA3186" w:rsidP="00A10E45"/>
        </w:tc>
      </w:tr>
      <w:tr w:rsidR="00FA3186" w14:paraId="4CE25D9E" w14:textId="77777777" w:rsidTr="00FA3186">
        <w:tc>
          <w:tcPr>
            <w:tcW w:w="799" w:type="dxa"/>
            <w:shd w:val="clear" w:color="auto" w:fill="FFFFFF" w:themeFill="background1"/>
          </w:tcPr>
          <w:p w14:paraId="4519DF49" w14:textId="77777777" w:rsidR="00FA3186" w:rsidRDefault="00FA3186" w:rsidP="00A10E45">
            <w:r>
              <w:t>17</w:t>
            </w:r>
          </w:p>
        </w:tc>
        <w:tc>
          <w:tcPr>
            <w:tcW w:w="10649" w:type="dxa"/>
            <w:shd w:val="clear" w:color="auto" w:fill="FFFFFF" w:themeFill="background1"/>
          </w:tcPr>
          <w:p w14:paraId="0C97DE25" w14:textId="77777777" w:rsidR="00FA3186" w:rsidRPr="00FB478C" w:rsidRDefault="00FA3186" w:rsidP="00A10E45">
            <w:r w:rsidRPr="00FB478C">
              <w:t>Beschrijf de bronnen voor de externe gegevens en beschrijf de methodes en aannames die u hanteert bij het gebruik van deze gegevens.</w:t>
            </w:r>
          </w:p>
        </w:tc>
        <w:tc>
          <w:tcPr>
            <w:tcW w:w="2061" w:type="dxa"/>
            <w:shd w:val="clear" w:color="auto" w:fill="FFFFFF" w:themeFill="background1"/>
          </w:tcPr>
          <w:p w14:paraId="3931F720" w14:textId="77777777" w:rsidR="00FA3186" w:rsidRPr="00FB478C" w:rsidRDefault="00FA3186" w:rsidP="00A10E45"/>
        </w:tc>
      </w:tr>
      <w:tr w:rsidR="00FA3186" w14:paraId="7074F8D3" w14:textId="77777777" w:rsidTr="00FA3186">
        <w:tc>
          <w:tcPr>
            <w:tcW w:w="799" w:type="dxa"/>
            <w:shd w:val="clear" w:color="auto" w:fill="FFFFFF" w:themeFill="background1"/>
          </w:tcPr>
          <w:p w14:paraId="232E4BD2" w14:textId="77777777" w:rsidR="00FA3186" w:rsidRDefault="00FA3186" w:rsidP="00A10E45">
            <w:r>
              <w:t>18</w:t>
            </w:r>
          </w:p>
        </w:tc>
        <w:tc>
          <w:tcPr>
            <w:tcW w:w="10649" w:type="dxa"/>
            <w:shd w:val="clear" w:color="auto" w:fill="FFFFFF" w:themeFill="background1"/>
          </w:tcPr>
          <w:p w14:paraId="421F6D76" w14:textId="77777777" w:rsidR="00FA3186" w:rsidRPr="00FB478C" w:rsidRDefault="00FA3186" w:rsidP="00A10E45">
            <w:r w:rsidRPr="00FB478C">
              <w:t>Geef een toelichting bij de trend(s) of variaties in aannames en methodes voor het verwerken van de gegevens in de loop van de tijd.</w:t>
            </w:r>
          </w:p>
        </w:tc>
        <w:tc>
          <w:tcPr>
            <w:tcW w:w="2061" w:type="dxa"/>
            <w:shd w:val="clear" w:color="auto" w:fill="FFFFFF" w:themeFill="background1"/>
          </w:tcPr>
          <w:p w14:paraId="4AB72E38" w14:textId="77777777" w:rsidR="00FA3186" w:rsidRPr="00FB478C" w:rsidRDefault="00FA3186" w:rsidP="00A10E45"/>
        </w:tc>
      </w:tr>
      <w:tr w:rsidR="00FA3186" w14:paraId="1E62BAF3" w14:textId="77777777" w:rsidTr="00FA3186">
        <w:tc>
          <w:tcPr>
            <w:tcW w:w="799" w:type="dxa"/>
            <w:shd w:val="clear" w:color="auto" w:fill="FFFFFF" w:themeFill="background1"/>
          </w:tcPr>
          <w:p w14:paraId="527AB8BA" w14:textId="77777777" w:rsidR="00FA3186" w:rsidRDefault="00FA3186" w:rsidP="00A10E45">
            <w:r>
              <w:t>19</w:t>
            </w:r>
          </w:p>
        </w:tc>
        <w:tc>
          <w:tcPr>
            <w:tcW w:w="10649" w:type="dxa"/>
            <w:shd w:val="clear" w:color="auto" w:fill="FFFFFF" w:themeFill="background1"/>
          </w:tcPr>
          <w:p w14:paraId="490D9DFF" w14:textId="77777777" w:rsidR="00FA3186" w:rsidRPr="00FB478C" w:rsidRDefault="00FA3186" w:rsidP="00A10E45">
            <w:r w:rsidRPr="00FB478C">
              <w:t>Beschrijf het proces van de gegevensvergaring en geef aan hoe de methode en de aannames bij het gebruik van de externe gegevens aansluiten bij uw risicoprofiel.</w:t>
            </w:r>
          </w:p>
        </w:tc>
        <w:tc>
          <w:tcPr>
            <w:tcW w:w="2061" w:type="dxa"/>
            <w:shd w:val="clear" w:color="auto" w:fill="FFFFFF" w:themeFill="background1"/>
          </w:tcPr>
          <w:p w14:paraId="2A732517" w14:textId="77777777" w:rsidR="00FA3186" w:rsidRPr="00FB478C" w:rsidRDefault="00FA3186" w:rsidP="00A10E45"/>
        </w:tc>
      </w:tr>
      <w:tr w:rsidR="00FA3186" w14:paraId="5176A573" w14:textId="77777777" w:rsidTr="00FA3186">
        <w:tc>
          <w:tcPr>
            <w:tcW w:w="799" w:type="dxa"/>
            <w:shd w:val="clear" w:color="auto" w:fill="FFFFFF" w:themeFill="background1"/>
          </w:tcPr>
          <w:p w14:paraId="4CAABCB7" w14:textId="77777777" w:rsidR="00FA3186" w:rsidRDefault="00FA3186" w:rsidP="00A10E45">
            <w:r>
              <w:t>20</w:t>
            </w:r>
          </w:p>
        </w:tc>
        <w:tc>
          <w:tcPr>
            <w:tcW w:w="10649" w:type="dxa"/>
            <w:shd w:val="clear" w:color="auto" w:fill="FFFFFF" w:themeFill="background1"/>
          </w:tcPr>
          <w:p w14:paraId="4D169A69" w14:textId="77777777" w:rsidR="00FA3186" w:rsidRPr="00FB478C" w:rsidRDefault="00FA3186" w:rsidP="00916E32">
            <w:r w:rsidRPr="00FB478C">
              <w:t>Als er gebruik wordt gemaakt van verschillende externe bronnen</w:t>
            </w:r>
            <w:r w:rsidR="00916E32">
              <w:t xml:space="preserve">, geef dan aan </w:t>
            </w:r>
            <w:r w:rsidRPr="00FB478C">
              <w:t>hoe de aannames van de verschillende bronnen zich tot elkaar verhouden en hoe u omgaat met de eventuele inconsistenties tussen de verschillende bronnen.</w:t>
            </w:r>
          </w:p>
        </w:tc>
        <w:tc>
          <w:tcPr>
            <w:tcW w:w="2061" w:type="dxa"/>
            <w:shd w:val="clear" w:color="auto" w:fill="FFFFFF" w:themeFill="background1"/>
          </w:tcPr>
          <w:p w14:paraId="772E977E" w14:textId="77777777" w:rsidR="00FA3186" w:rsidRPr="00FB478C" w:rsidRDefault="00FA3186" w:rsidP="00A10E45"/>
        </w:tc>
      </w:tr>
      <w:tr w:rsidR="00FA3186" w14:paraId="56915323" w14:textId="77777777" w:rsidTr="00FA3186">
        <w:tc>
          <w:tcPr>
            <w:tcW w:w="799" w:type="dxa"/>
            <w:shd w:val="clear" w:color="auto" w:fill="FFFFFF" w:themeFill="background1"/>
          </w:tcPr>
          <w:p w14:paraId="4FB5FD2D" w14:textId="77777777" w:rsidR="00FA3186" w:rsidRDefault="00FA3186" w:rsidP="00A10E45">
            <w:r>
              <w:t>21</w:t>
            </w:r>
          </w:p>
        </w:tc>
        <w:tc>
          <w:tcPr>
            <w:tcW w:w="10649" w:type="dxa"/>
            <w:shd w:val="clear" w:color="auto" w:fill="FFFFFF" w:themeFill="background1"/>
          </w:tcPr>
          <w:p w14:paraId="13BE7D5E" w14:textId="77777777" w:rsidR="00FA3186" w:rsidRPr="00FB478C" w:rsidRDefault="00FA3186" w:rsidP="00A10E45">
            <w:r w:rsidRPr="00FB478C">
              <w:t>Geef aan waar u eventueel externe gegevens heeft verworpen op grond van materiele tekortkomingen of inconsistenties met andere externe bronnen of met het risicoprofiel van uw onderneming.</w:t>
            </w:r>
          </w:p>
        </w:tc>
        <w:tc>
          <w:tcPr>
            <w:tcW w:w="2061" w:type="dxa"/>
            <w:shd w:val="clear" w:color="auto" w:fill="FFFFFF" w:themeFill="background1"/>
          </w:tcPr>
          <w:p w14:paraId="0DDC46B5" w14:textId="77777777" w:rsidR="00FA3186" w:rsidRPr="00FB478C" w:rsidRDefault="00FA3186" w:rsidP="00A10E45"/>
        </w:tc>
      </w:tr>
      <w:tr w:rsidR="00FA3186" w14:paraId="3B325E0E" w14:textId="77777777" w:rsidTr="00FA3186">
        <w:tc>
          <w:tcPr>
            <w:tcW w:w="799" w:type="dxa"/>
            <w:shd w:val="clear" w:color="auto" w:fill="FFFFFF" w:themeFill="background1"/>
          </w:tcPr>
          <w:p w14:paraId="202F4733" w14:textId="77777777" w:rsidR="00FA3186" w:rsidRDefault="00FA3186" w:rsidP="00A10E45">
            <w:r>
              <w:t>22</w:t>
            </w:r>
          </w:p>
        </w:tc>
        <w:tc>
          <w:tcPr>
            <w:tcW w:w="10649" w:type="dxa"/>
            <w:shd w:val="clear" w:color="auto" w:fill="FFFFFF" w:themeFill="background1"/>
          </w:tcPr>
          <w:p w14:paraId="50CB2F11" w14:textId="77777777" w:rsidR="00FA3186" w:rsidRPr="00FB478C" w:rsidRDefault="00FA3186" w:rsidP="008908C0">
            <w:r w:rsidRPr="00FB478C">
              <w:t>Geef een verklaring voor de eventuele significante verschillen tussen de standaard</w:t>
            </w:r>
            <w:r>
              <w:t>afwijkingen</w:t>
            </w:r>
            <w:r w:rsidRPr="00FB478C">
              <w:t xml:space="preserve"> verkregen op grond van de externe gegevens en de standaard</w:t>
            </w:r>
            <w:r>
              <w:t>afwijkingen</w:t>
            </w:r>
            <w:r w:rsidRPr="00FB478C">
              <w:t xml:space="preserve"> voor de interne gegevens. Geef daarbij aan wat u bedoelt met een significant verschil.</w:t>
            </w:r>
          </w:p>
        </w:tc>
        <w:tc>
          <w:tcPr>
            <w:tcW w:w="2061" w:type="dxa"/>
            <w:shd w:val="clear" w:color="auto" w:fill="FFFFFF" w:themeFill="background1"/>
          </w:tcPr>
          <w:p w14:paraId="1DD97A37" w14:textId="77777777" w:rsidR="00FA3186" w:rsidRPr="00FB478C" w:rsidRDefault="00FA3186" w:rsidP="008908C0"/>
        </w:tc>
      </w:tr>
      <w:tr w:rsidR="00FA3186" w14:paraId="7FAC1C48" w14:textId="77777777" w:rsidTr="00FA3186">
        <w:tc>
          <w:tcPr>
            <w:tcW w:w="799" w:type="dxa"/>
            <w:shd w:val="clear" w:color="auto" w:fill="FFFFFF" w:themeFill="background1"/>
          </w:tcPr>
          <w:p w14:paraId="164F2345" w14:textId="77777777" w:rsidR="00FA3186" w:rsidRDefault="00FA3186" w:rsidP="00A10E45">
            <w:r>
              <w:t>23</w:t>
            </w:r>
          </w:p>
        </w:tc>
        <w:tc>
          <w:tcPr>
            <w:tcW w:w="10649" w:type="dxa"/>
            <w:shd w:val="clear" w:color="auto" w:fill="FFFFFF" w:themeFill="background1"/>
          </w:tcPr>
          <w:p w14:paraId="7508BBEB" w14:textId="77777777" w:rsidR="00FA3186" w:rsidRPr="00FB478C" w:rsidRDefault="00FA3186" w:rsidP="008908C0">
            <w:r w:rsidRPr="00FB478C">
              <w:t>Beschrijf de waarschijnlijkheidsverdelingen voor de externe gegevens en voor de interne gegevens en bepaal de standaard</w:t>
            </w:r>
            <w:r>
              <w:t>afwijking</w:t>
            </w:r>
            <w:r w:rsidRPr="00FB478C">
              <w:t xml:space="preserve"> voor het onderliggende risico op basis van zowel de externe en als de interne gegevens.</w:t>
            </w:r>
          </w:p>
        </w:tc>
        <w:tc>
          <w:tcPr>
            <w:tcW w:w="2061" w:type="dxa"/>
            <w:shd w:val="clear" w:color="auto" w:fill="FFFFFF" w:themeFill="background1"/>
          </w:tcPr>
          <w:p w14:paraId="6B1E2CDD" w14:textId="77777777" w:rsidR="00FA3186" w:rsidRPr="00FB478C" w:rsidRDefault="00FA3186" w:rsidP="008908C0"/>
        </w:tc>
      </w:tr>
      <w:tr w:rsidR="00FA3186" w14:paraId="714524B2" w14:textId="77777777" w:rsidTr="00FA3186">
        <w:tc>
          <w:tcPr>
            <w:tcW w:w="799" w:type="dxa"/>
            <w:shd w:val="clear" w:color="auto" w:fill="FFFFFF" w:themeFill="background1"/>
          </w:tcPr>
          <w:p w14:paraId="08C5FC0F" w14:textId="77777777" w:rsidR="00FA3186" w:rsidRDefault="00FA3186" w:rsidP="00A10E45">
            <w:r>
              <w:t>24</w:t>
            </w:r>
          </w:p>
        </w:tc>
        <w:tc>
          <w:tcPr>
            <w:tcW w:w="10649" w:type="dxa"/>
            <w:shd w:val="clear" w:color="auto" w:fill="FFFFFF" w:themeFill="background1"/>
          </w:tcPr>
          <w:p w14:paraId="2E636F57" w14:textId="77777777" w:rsidR="00FA3186" w:rsidRPr="00FB478C" w:rsidRDefault="00FA3186" w:rsidP="00A10E45">
            <w:r w:rsidRPr="00FB478C">
              <w:t>Voeg de resultaten van de analyses toe die zijn uitgevoerd als aanvulling op de standa</w:t>
            </w:r>
            <w:r>
              <w:t>a</w:t>
            </w:r>
            <w:r w:rsidRPr="00FB478C">
              <w:t>rd methodes.</w:t>
            </w:r>
          </w:p>
        </w:tc>
        <w:tc>
          <w:tcPr>
            <w:tcW w:w="2061" w:type="dxa"/>
            <w:shd w:val="clear" w:color="auto" w:fill="FFFFFF" w:themeFill="background1"/>
          </w:tcPr>
          <w:p w14:paraId="37B336AC" w14:textId="77777777" w:rsidR="00FA3186" w:rsidRPr="00FB478C" w:rsidRDefault="00FA3186" w:rsidP="00A10E45"/>
        </w:tc>
      </w:tr>
      <w:tr w:rsidR="00FA3186" w14:paraId="56EFDD43" w14:textId="77777777" w:rsidTr="00FA3186">
        <w:tc>
          <w:tcPr>
            <w:tcW w:w="799" w:type="dxa"/>
            <w:shd w:val="clear" w:color="auto" w:fill="FFFFFF" w:themeFill="background1"/>
          </w:tcPr>
          <w:p w14:paraId="049DB40F" w14:textId="77777777" w:rsidR="00FA3186" w:rsidRDefault="00FA3186" w:rsidP="00A10E45">
            <w:r>
              <w:t>25</w:t>
            </w:r>
          </w:p>
        </w:tc>
        <w:tc>
          <w:tcPr>
            <w:tcW w:w="10649" w:type="dxa"/>
            <w:shd w:val="clear" w:color="auto" w:fill="FFFFFF" w:themeFill="background1"/>
          </w:tcPr>
          <w:p w14:paraId="31114C70" w14:textId="77777777" w:rsidR="00FA3186" w:rsidRPr="00FB478C" w:rsidRDefault="00FA3186" w:rsidP="00A10E45">
            <w:r w:rsidRPr="00FB478C">
              <w:t>Geef aan op welke manier de externe gegevens relevant zijn voor uw risicoprofiel. Voeg een vergelijking toe van de externe gegevens met uw e</w:t>
            </w:r>
            <w:r>
              <w:t>igen risicoprofiel en de risico</w:t>
            </w:r>
            <w:r w:rsidR="00916E32">
              <w:t>mitigerende</w:t>
            </w:r>
            <w:r w:rsidRPr="00FB478C">
              <w:t xml:space="preserve"> overeenkomsten. Laat ook zien hoe de homogeniteit zichtbaar is in de externe gegevens.</w:t>
            </w:r>
          </w:p>
        </w:tc>
        <w:tc>
          <w:tcPr>
            <w:tcW w:w="2061" w:type="dxa"/>
            <w:shd w:val="clear" w:color="auto" w:fill="FFFFFF" w:themeFill="background1"/>
          </w:tcPr>
          <w:p w14:paraId="7FAE25DF" w14:textId="77777777" w:rsidR="00FA3186" w:rsidRPr="00FB478C" w:rsidRDefault="00FA3186" w:rsidP="00A10E45"/>
        </w:tc>
      </w:tr>
    </w:tbl>
    <w:p w14:paraId="4B0839EB" w14:textId="77777777" w:rsidR="00FB478C" w:rsidRDefault="00FB478C" w:rsidP="00FB478C">
      <w:r w:rsidRPr="00425E9E">
        <w:t xml:space="preserve">Tabel 6: Algemene criteria betreffende gegevens – Artikel 219 van de Gedelegeerde Verordening </w:t>
      </w:r>
      <w:r w:rsidR="00425E9E">
        <w:t>2015/35</w:t>
      </w:r>
    </w:p>
    <w:p w14:paraId="15A2B966" w14:textId="77777777" w:rsidR="00EA5E64" w:rsidRPr="00425E9E" w:rsidRDefault="00EA5E64" w:rsidP="00FB478C"/>
    <w:p w14:paraId="1EAF4D68" w14:textId="77777777" w:rsidR="00EA5E64" w:rsidRDefault="00EA5E64">
      <w:pPr>
        <w:spacing w:after="160"/>
      </w:pPr>
    </w:p>
    <w:p w14:paraId="46394FF8" w14:textId="77777777" w:rsidR="00FB478C" w:rsidRDefault="00FB478C">
      <w:pPr>
        <w:spacing w:after="160"/>
      </w:pPr>
      <w:r>
        <w:br w:type="page"/>
      </w:r>
    </w:p>
    <w:tbl>
      <w:tblPr>
        <w:tblStyle w:val="Tabelraster"/>
        <w:tblpPr w:leftFromText="141" w:rightFromText="141" w:horzAnchor="margin" w:tblpY="615"/>
        <w:tblW w:w="13509" w:type="dxa"/>
        <w:tblLook w:val="04A0" w:firstRow="1" w:lastRow="0" w:firstColumn="1" w:lastColumn="0" w:noHBand="0" w:noVBand="1"/>
      </w:tblPr>
      <w:tblGrid>
        <w:gridCol w:w="799"/>
        <w:gridCol w:w="10649"/>
        <w:gridCol w:w="2061"/>
      </w:tblGrid>
      <w:tr w:rsidR="00994340" w14:paraId="01026C00" w14:textId="77777777" w:rsidTr="00994340">
        <w:tc>
          <w:tcPr>
            <w:tcW w:w="11448" w:type="dxa"/>
            <w:gridSpan w:val="2"/>
            <w:shd w:val="clear" w:color="auto" w:fill="D9D9D9" w:themeFill="background1" w:themeFillShade="D9"/>
          </w:tcPr>
          <w:p w14:paraId="1FBDB7FC" w14:textId="77777777" w:rsidR="00994340" w:rsidRPr="00994340" w:rsidRDefault="00994340" w:rsidP="008908C0">
            <w:pPr>
              <w:rPr>
                <w:b/>
              </w:rPr>
            </w:pPr>
            <w:r w:rsidRPr="00994340">
              <w:rPr>
                <w:b/>
              </w:rPr>
              <w:lastRenderedPageBreak/>
              <w:t>Gegevens voor de premierisicomethode</w:t>
            </w:r>
          </w:p>
        </w:tc>
        <w:tc>
          <w:tcPr>
            <w:tcW w:w="2061" w:type="dxa"/>
            <w:shd w:val="clear" w:color="auto" w:fill="D9D9D9" w:themeFill="background1" w:themeFillShade="D9"/>
          </w:tcPr>
          <w:p w14:paraId="4C47FEAF" w14:textId="77777777" w:rsidR="00994340" w:rsidRDefault="00994340" w:rsidP="008908C0">
            <w:r w:rsidRPr="008D1B3F">
              <w:rPr>
                <w:b/>
              </w:rPr>
              <w:t>Referentie naar document(en)</w:t>
            </w:r>
          </w:p>
        </w:tc>
      </w:tr>
      <w:tr w:rsidR="00994340" w14:paraId="2501640A" w14:textId="77777777" w:rsidTr="00994340">
        <w:tc>
          <w:tcPr>
            <w:tcW w:w="799" w:type="dxa"/>
            <w:shd w:val="clear" w:color="auto" w:fill="FFFFFF" w:themeFill="background1"/>
          </w:tcPr>
          <w:p w14:paraId="54F5E91B" w14:textId="77777777" w:rsidR="00994340" w:rsidRDefault="00994340" w:rsidP="00A10E45">
            <w:r>
              <w:t>26</w:t>
            </w:r>
          </w:p>
        </w:tc>
        <w:tc>
          <w:tcPr>
            <w:tcW w:w="10649" w:type="dxa"/>
            <w:shd w:val="clear" w:color="auto" w:fill="FFFFFF" w:themeFill="background1"/>
          </w:tcPr>
          <w:p w14:paraId="78FC97FC" w14:textId="77777777" w:rsidR="00994340" w:rsidRDefault="00994340" w:rsidP="00A10E45">
            <w:r>
              <w:t>Toon aan dat de data voor het premierisico waar uw (her)verzekeraar de komende 12 maanden aan blootstaat, representatief zijn.</w:t>
            </w:r>
          </w:p>
        </w:tc>
        <w:tc>
          <w:tcPr>
            <w:tcW w:w="2061" w:type="dxa"/>
            <w:shd w:val="clear" w:color="auto" w:fill="FFFFFF" w:themeFill="background1"/>
          </w:tcPr>
          <w:p w14:paraId="0D5F886D" w14:textId="77777777" w:rsidR="00994340" w:rsidRDefault="00994340" w:rsidP="00A10E45"/>
        </w:tc>
      </w:tr>
      <w:tr w:rsidR="00994340" w14:paraId="5D8DE201" w14:textId="77777777" w:rsidTr="00994340">
        <w:tc>
          <w:tcPr>
            <w:tcW w:w="799" w:type="dxa"/>
            <w:shd w:val="clear" w:color="auto" w:fill="FFFFFF" w:themeFill="background1"/>
          </w:tcPr>
          <w:p w14:paraId="41678E14" w14:textId="77777777" w:rsidR="00994340" w:rsidRDefault="00994340" w:rsidP="00A10E45">
            <w:r>
              <w:t>27</w:t>
            </w:r>
          </w:p>
        </w:tc>
        <w:tc>
          <w:tcPr>
            <w:tcW w:w="10649" w:type="dxa"/>
            <w:shd w:val="clear" w:color="auto" w:fill="FFFFFF" w:themeFill="background1"/>
          </w:tcPr>
          <w:p w14:paraId="3CC262D1" w14:textId="77777777" w:rsidR="00994340" w:rsidRDefault="00994340" w:rsidP="00916E32">
            <w:r>
              <w:t>Op welke ongevalsjaren hebben de data betrekking. Voor de definitie van ongevalsjaar wordt verwezen naar afdeling A van Bijlage XVII van de Gedelegeerde Verordening 2015/35.</w:t>
            </w:r>
          </w:p>
        </w:tc>
        <w:tc>
          <w:tcPr>
            <w:tcW w:w="2061" w:type="dxa"/>
            <w:shd w:val="clear" w:color="auto" w:fill="FFFFFF" w:themeFill="background1"/>
          </w:tcPr>
          <w:p w14:paraId="0855C5B2" w14:textId="77777777" w:rsidR="00994340" w:rsidRDefault="00994340" w:rsidP="00E77E0B"/>
        </w:tc>
      </w:tr>
      <w:tr w:rsidR="00994340" w:rsidRPr="007C5373" w14:paraId="78D1B88C" w14:textId="77777777" w:rsidTr="00994340">
        <w:tc>
          <w:tcPr>
            <w:tcW w:w="799" w:type="dxa"/>
            <w:shd w:val="clear" w:color="auto" w:fill="FFFFFF" w:themeFill="background1"/>
          </w:tcPr>
          <w:p w14:paraId="27241DE0" w14:textId="77777777" w:rsidR="00994340" w:rsidRDefault="00994340" w:rsidP="00A10E45">
            <w:r>
              <w:t>28</w:t>
            </w:r>
          </w:p>
        </w:tc>
        <w:tc>
          <w:tcPr>
            <w:tcW w:w="10649" w:type="dxa"/>
            <w:shd w:val="clear" w:color="auto" w:fill="FFFFFF" w:themeFill="background1"/>
          </w:tcPr>
          <w:p w14:paraId="2F9AE83A" w14:textId="77777777" w:rsidR="00994340" w:rsidRPr="007C5373" w:rsidRDefault="00994340" w:rsidP="00A10E45">
            <w:r>
              <w:t xml:space="preserve">Welke standaardparameters bent u van plan te vervangen? </w:t>
            </w:r>
            <w:r w:rsidRPr="007C5373">
              <w:t>Die voor het netto</w:t>
            </w:r>
            <w:r w:rsidR="00916E32">
              <w:t xml:space="preserve"> premierisico</w:t>
            </w:r>
            <w:r w:rsidRPr="007C5373">
              <w:t xml:space="preserve"> of het bruto </w:t>
            </w:r>
            <w:r>
              <w:t>premierisico?</w:t>
            </w:r>
          </w:p>
        </w:tc>
        <w:tc>
          <w:tcPr>
            <w:tcW w:w="2061" w:type="dxa"/>
            <w:shd w:val="clear" w:color="auto" w:fill="FFFFFF" w:themeFill="background1"/>
          </w:tcPr>
          <w:p w14:paraId="64CBC858" w14:textId="77777777" w:rsidR="00994340" w:rsidRDefault="00994340" w:rsidP="00A10E45"/>
        </w:tc>
      </w:tr>
      <w:tr w:rsidR="00994340" w14:paraId="7FFC790D" w14:textId="77777777" w:rsidTr="00994340">
        <w:tc>
          <w:tcPr>
            <w:tcW w:w="799" w:type="dxa"/>
            <w:shd w:val="clear" w:color="auto" w:fill="FFFFFF" w:themeFill="background1"/>
          </w:tcPr>
          <w:p w14:paraId="20A1D83C" w14:textId="77777777" w:rsidR="00994340" w:rsidRDefault="00994340" w:rsidP="00A10E45">
            <w:r>
              <w:t>29</w:t>
            </w:r>
          </w:p>
        </w:tc>
        <w:tc>
          <w:tcPr>
            <w:tcW w:w="10649" w:type="dxa"/>
            <w:shd w:val="clear" w:color="auto" w:fill="FFFFFF" w:themeFill="background1"/>
          </w:tcPr>
          <w:p w14:paraId="7BF1358F" w14:textId="77777777" w:rsidR="00994340" w:rsidRPr="003B21BA" w:rsidRDefault="00994340" w:rsidP="00916E32">
            <w:pPr>
              <w:rPr>
                <w:i/>
              </w:rPr>
            </w:pPr>
            <w:r>
              <w:t xml:space="preserve">Indien het antwoord op de vorige vraag het bruto premierisico is, geef dan de details van het herverzekeringscontract en/of het arrangement met de special purpose vehicle (SPV) voor de komende 12 maanden weer en licht toe hoe de verdiende premies en geaggregeerde schades zijn aangepast voor </w:t>
            </w:r>
            <w:r w:rsidR="00916E32">
              <w:t xml:space="preserve">het aandeel </w:t>
            </w:r>
            <w:r>
              <w:t xml:space="preserve">vanuit de herverzekering, de SPV of de herverzekeringspremies. </w:t>
            </w:r>
            <w:r w:rsidRPr="00EC4E96">
              <w:t xml:space="preserve">Voeg een verklaring toe waarin u laat zien dat de aanpassingen </w:t>
            </w:r>
            <w:r>
              <w:t>op</w:t>
            </w:r>
            <w:r w:rsidRPr="00EC4E96">
              <w:t xml:space="preserve"> de </w:t>
            </w:r>
            <w:r>
              <w:t>verhaalde schadebedragen</w:t>
            </w:r>
            <w:r w:rsidRPr="00EC4E96">
              <w:t xml:space="preserve"> en </w:t>
            </w:r>
            <w:r>
              <w:t>herverzekerings</w:t>
            </w:r>
            <w:r w:rsidRPr="00EC4E96">
              <w:t>premies consistent zijn met de overeenkomsten die voo</w:t>
            </w:r>
            <w:r>
              <w:t>r de komende 12 maanden gelden.</w:t>
            </w:r>
          </w:p>
        </w:tc>
        <w:tc>
          <w:tcPr>
            <w:tcW w:w="2061" w:type="dxa"/>
            <w:shd w:val="clear" w:color="auto" w:fill="FFFFFF" w:themeFill="background1"/>
          </w:tcPr>
          <w:p w14:paraId="6FA09EE4" w14:textId="77777777" w:rsidR="00994340" w:rsidRDefault="00994340" w:rsidP="00EC4E96"/>
        </w:tc>
      </w:tr>
      <w:tr w:rsidR="00994340" w14:paraId="4966723E" w14:textId="77777777" w:rsidTr="00994340">
        <w:tc>
          <w:tcPr>
            <w:tcW w:w="799" w:type="dxa"/>
            <w:shd w:val="clear" w:color="auto" w:fill="FFFFFF" w:themeFill="background1"/>
          </w:tcPr>
          <w:p w14:paraId="13BCDB0A" w14:textId="77777777" w:rsidR="00994340" w:rsidRDefault="00994340" w:rsidP="00A10E45">
            <w:r>
              <w:t>30</w:t>
            </w:r>
          </w:p>
        </w:tc>
        <w:tc>
          <w:tcPr>
            <w:tcW w:w="10649" w:type="dxa"/>
            <w:shd w:val="clear" w:color="auto" w:fill="FFFFFF" w:themeFill="background1"/>
          </w:tcPr>
          <w:p w14:paraId="4F2BD716" w14:textId="77777777" w:rsidR="00994340" w:rsidRDefault="00994340" w:rsidP="00250BA4">
            <w:r>
              <w:t>Toon aan dat de definitie van alle catastrofeclaims die buiten beschouwing worden gelaten bij de ondermodules voor het premierisico voor Schade en Ziekte consistent zijn met de scenario’s die worden gegeven bij de ondermodules voor het catastroferisico voor Schade en Ziekte of met de definitie die wordt gebruikt in een goedgekeurd partieel intern model voor het relevante segment.</w:t>
            </w:r>
          </w:p>
        </w:tc>
        <w:tc>
          <w:tcPr>
            <w:tcW w:w="2061" w:type="dxa"/>
            <w:shd w:val="clear" w:color="auto" w:fill="FFFFFF" w:themeFill="background1"/>
          </w:tcPr>
          <w:p w14:paraId="5FE759A1" w14:textId="77777777" w:rsidR="00994340" w:rsidRDefault="00994340" w:rsidP="00250BA4"/>
        </w:tc>
      </w:tr>
      <w:tr w:rsidR="00994340" w14:paraId="3C10C819" w14:textId="77777777" w:rsidTr="00994340">
        <w:tc>
          <w:tcPr>
            <w:tcW w:w="799" w:type="dxa"/>
            <w:shd w:val="clear" w:color="auto" w:fill="FFFFFF" w:themeFill="background1"/>
          </w:tcPr>
          <w:p w14:paraId="7A399EEB" w14:textId="77777777" w:rsidR="00994340" w:rsidRDefault="00994340" w:rsidP="00A10E45">
            <w:r>
              <w:t>31</w:t>
            </w:r>
          </w:p>
        </w:tc>
        <w:tc>
          <w:tcPr>
            <w:tcW w:w="10649" w:type="dxa"/>
            <w:shd w:val="clear" w:color="auto" w:fill="FFFFFF" w:themeFill="background1"/>
          </w:tcPr>
          <w:p w14:paraId="0F929AE1" w14:textId="77777777" w:rsidR="00994340" w:rsidRDefault="00994340" w:rsidP="00916E32">
            <w:r>
              <w:t>Geef aan of u de opgelopen</w:t>
            </w:r>
            <w:r w:rsidRPr="00F278E5">
              <w:rPr>
                <w:color w:val="FF0000"/>
              </w:rPr>
              <w:t xml:space="preserve"> </w:t>
            </w:r>
            <w:r>
              <w:t xml:space="preserve">kosten voor het nakomen van de </w:t>
            </w:r>
            <w:r w:rsidR="00916E32">
              <w:t xml:space="preserve">(her)verzekeringsverplichtingen </w:t>
            </w:r>
            <w:r>
              <w:t xml:space="preserve">heeft  meegenomen in de geaggregeerde schadedata en specificeer de kosten en hun omvang. </w:t>
            </w:r>
          </w:p>
        </w:tc>
        <w:tc>
          <w:tcPr>
            <w:tcW w:w="2061" w:type="dxa"/>
            <w:shd w:val="clear" w:color="auto" w:fill="FFFFFF" w:themeFill="background1"/>
          </w:tcPr>
          <w:p w14:paraId="064C66CF" w14:textId="77777777" w:rsidR="00994340" w:rsidRDefault="00994340" w:rsidP="00E113AC"/>
        </w:tc>
      </w:tr>
      <w:tr w:rsidR="00994340" w14:paraId="4C0618F2" w14:textId="77777777" w:rsidTr="00994340">
        <w:tc>
          <w:tcPr>
            <w:tcW w:w="799" w:type="dxa"/>
            <w:shd w:val="clear" w:color="auto" w:fill="FFFFFF" w:themeFill="background1"/>
          </w:tcPr>
          <w:p w14:paraId="6AD94A0F" w14:textId="77777777" w:rsidR="00994340" w:rsidRDefault="00994340" w:rsidP="00A10E45">
            <w:r>
              <w:t>32</w:t>
            </w:r>
          </w:p>
        </w:tc>
        <w:tc>
          <w:tcPr>
            <w:tcW w:w="10649" w:type="dxa"/>
            <w:shd w:val="clear" w:color="auto" w:fill="FFFFFF" w:themeFill="background1"/>
          </w:tcPr>
          <w:p w14:paraId="2CFB1FA1" w14:textId="77777777" w:rsidR="00994340" w:rsidRDefault="00994340" w:rsidP="008516FF">
            <w:r>
              <w:t>Toon voor elk segment aan dat de geaggregeerde schadedata lineair proportioneel zijn met de verdiende premies in een bepaald ongevalsjaar. Toon voor elk segment aan dat de variantie van de geaggregeerde schades zich kwadratisch verhoudt tot de verdiende premies in een bepaald ongevalsjaar</w:t>
            </w:r>
            <w:r w:rsidR="00916E32">
              <w:t>.</w:t>
            </w:r>
          </w:p>
        </w:tc>
        <w:tc>
          <w:tcPr>
            <w:tcW w:w="2061" w:type="dxa"/>
            <w:shd w:val="clear" w:color="auto" w:fill="FFFFFF" w:themeFill="background1"/>
          </w:tcPr>
          <w:p w14:paraId="38F938D5" w14:textId="77777777" w:rsidR="00994340" w:rsidRDefault="00994340" w:rsidP="00E113AC"/>
        </w:tc>
      </w:tr>
      <w:tr w:rsidR="00994340" w14:paraId="3043BD63" w14:textId="77777777" w:rsidTr="00994340">
        <w:tc>
          <w:tcPr>
            <w:tcW w:w="799" w:type="dxa"/>
            <w:shd w:val="clear" w:color="auto" w:fill="FFFFFF" w:themeFill="background1"/>
          </w:tcPr>
          <w:p w14:paraId="20F7E664" w14:textId="77777777" w:rsidR="00994340" w:rsidRDefault="00994340" w:rsidP="00A10E45">
            <w:r>
              <w:t>33</w:t>
            </w:r>
          </w:p>
        </w:tc>
        <w:tc>
          <w:tcPr>
            <w:tcW w:w="10649" w:type="dxa"/>
            <w:shd w:val="clear" w:color="auto" w:fill="FFFFFF" w:themeFill="background1"/>
          </w:tcPr>
          <w:p w14:paraId="614E4213" w14:textId="77777777" w:rsidR="00994340" w:rsidRDefault="00994340" w:rsidP="00A10E45">
            <w:r>
              <w:t xml:space="preserve">Toon aan dat de geaggregeerde schades een lognormale verdeling volgen en voeg een grafiek en relevante kengetallen van de vergelijking van de geobserveerde data en de gefitte lognormale verdeling toe. </w:t>
            </w:r>
          </w:p>
        </w:tc>
        <w:tc>
          <w:tcPr>
            <w:tcW w:w="2061" w:type="dxa"/>
            <w:shd w:val="clear" w:color="auto" w:fill="FFFFFF" w:themeFill="background1"/>
          </w:tcPr>
          <w:p w14:paraId="1249B224" w14:textId="77777777" w:rsidR="00994340" w:rsidRDefault="00994340" w:rsidP="00A10E45"/>
        </w:tc>
      </w:tr>
      <w:tr w:rsidR="00994340" w14:paraId="6A533A3D" w14:textId="77777777" w:rsidTr="00994340">
        <w:tc>
          <w:tcPr>
            <w:tcW w:w="799" w:type="dxa"/>
            <w:shd w:val="clear" w:color="auto" w:fill="FFFFFF" w:themeFill="background1"/>
          </w:tcPr>
          <w:p w14:paraId="31C53C2F" w14:textId="77777777" w:rsidR="00994340" w:rsidRDefault="00994340" w:rsidP="00A10E45">
            <w:r>
              <w:t>34</w:t>
            </w:r>
          </w:p>
        </w:tc>
        <w:tc>
          <w:tcPr>
            <w:tcW w:w="10649" w:type="dxa"/>
            <w:shd w:val="clear" w:color="auto" w:fill="FFFFFF" w:themeFill="background1"/>
          </w:tcPr>
          <w:p w14:paraId="76A299E8" w14:textId="77777777" w:rsidR="00994340" w:rsidRDefault="00994340" w:rsidP="00A10E45">
            <w:r>
              <w:t>Laat zien dat de maximum likelihood schatting geschikt is voor deze data.</w:t>
            </w:r>
          </w:p>
        </w:tc>
        <w:tc>
          <w:tcPr>
            <w:tcW w:w="2061" w:type="dxa"/>
            <w:shd w:val="clear" w:color="auto" w:fill="FFFFFF" w:themeFill="background1"/>
          </w:tcPr>
          <w:p w14:paraId="56F75A62" w14:textId="77777777" w:rsidR="00994340" w:rsidRDefault="00994340" w:rsidP="00A10E45"/>
        </w:tc>
      </w:tr>
    </w:tbl>
    <w:p w14:paraId="15EE31CB" w14:textId="77777777" w:rsidR="00FB478C" w:rsidRPr="008908C0" w:rsidRDefault="009341E1" w:rsidP="00FB478C">
      <w:r w:rsidRPr="008908C0">
        <w:t>Tabel 7: Premierisico gegevens</w:t>
      </w:r>
      <w:r w:rsidR="00E77E0B">
        <w:t xml:space="preserve"> – Bijlage XVII van de Gedelegeerde Verordening 2015/35</w:t>
      </w:r>
    </w:p>
    <w:p w14:paraId="6DF90758" w14:textId="77777777" w:rsidR="009341E1" w:rsidRDefault="009341E1">
      <w:pPr>
        <w:spacing w:after="160"/>
      </w:pPr>
      <w:r>
        <w:br w:type="page"/>
      </w:r>
    </w:p>
    <w:tbl>
      <w:tblPr>
        <w:tblStyle w:val="Tabelraster"/>
        <w:tblpPr w:leftFromText="141" w:rightFromText="141" w:horzAnchor="margin" w:tblpY="615"/>
        <w:tblW w:w="13509" w:type="dxa"/>
        <w:tblLook w:val="04A0" w:firstRow="1" w:lastRow="0" w:firstColumn="1" w:lastColumn="0" w:noHBand="0" w:noVBand="1"/>
      </w:tblPr>
      <w:tblGrid>
        <w:gridCol w:w="802"/>
        <w:gridCol w:w="10646"/>
        <w:gridCol w:w="2061"/>
      </w:tblGrid>
      <w:tr w:rsidR="00F45840" w14:paraId="7D7ACA1D" w14:textId="77777777" w:rsidTr="00F45840">
        <w:tc>
          <w:tcPr>
            <w:tcW w:w="11448" w:type="dxa"/>
            <w:gridSpan w:val="2"/>
            <w:shd w:val="clear" w:color="auto" w:fill="D9D9D9" w:themeFill="background1" w:themeFillShade="D9"/>
          </w:tcPr>
          <w:p w14:paraId="059BA991" w14:textId="77777777" w:rsidR="00F45840" w:rsidRPr="00F45840" w:rsidRDefault="00F45840" w:rsidP="00A10E45">
            <w:pPr>
              <w:rPr>
                <w:b/>
              </w:rPr>
            </w:pPr>
            <w:r w:rsidRPr="00F45840">
              <w:rPr>
                <w:b/>
              </w:rPr>
              <w:lastRenderedPageBreak/>
              <w:t>Gegevens voor het reserverisico – Algemeen</w:t>
            </w:r>
          </w:p>
        </w:tc>
        <w:tc>
          <w:tcPr>
            <w:tcW w:w="2061" w:type="dxa"/>
            <w:shd w:val="clear" w:color="auto" w:fill="D9D9D9" w:themeFill="background1" w:themeFillShade="D9"/>
          </w:tcPr>
          <w:p w14:paraId="3FC4D70C" w14:textId="77777777" w:rsidR="00F45840" w:rsidRPr="009341E1" w:rsidRDefault="00F45840" w:rsidP="00A10E45">
            <w:r w:rsidRPr="008D1B3F">
              <w:rPr>
                <w:b/>
              </w:rPr>
              <w:t>Referentie naar document(en)</w:t>
            </w:r>
          </w:p>
        </w:tc>
      </w:tr>
      <w:tr w:rsidR="00F45840" w14:paraId="00321524" w14:textId="77777777" w:rsidTr="00641760">
        <w:tc>
          <w:tcPr>
            <w:tcW w:w="802" w:type="dxa"/>
            <w:shd w:val="clear" w:color="auto" w:fill="FFFFFF" w:themeFill="background1"/>
          </w:tcPr>
          <w:p w14:paraId="6AA8A3CF" w14:textId="77777777" w:rsidR="00F45840" w:rsidRDefault="00F45840" w:rsidP="00A10E45">
            <w:r>
              <w:t>35</w:t>
            </w:r>
          </w:p>
        </w:tc>
        <w:tc>
          <w:tcPr>
            <w:tcW w:w="10646" w:type="dxa"/>
            <w:shd w:val="clear" w:color="auto" w:fill="FFFFFF" w:themeFill="background1"/>
          </w:tcPr>
          <w:p w14:paraId="62A11DFB" w14:textId="77777777" w:rsidR="00F45840" w:rsidRDefault="00F45840" w:rsidP="00A10E45">
            <w:r w:rsidRPr="009341E1">
              <w:t>Verklaar op welke manier de gegevens representatief zijn voor het reserverisico waaraan uw onderneming blootstaat in de komende 12 maanden.</w:t>
            </w:r>
          </w:p>
        </w:tc>
        <w:tc>
          <w:tcPr>
            <w:tcW w:w="2061" w:type="dxa"/>
            <w:shd w:val="clear" w:color="auto" w:fill="FFFFFF" w:themeFill="background1"/>
          </w:tcPr>
          <w:p w14:paraId="5A080198" w14:textId="77777777" w:rsidR="00F45840" w:rsidRPr="009341E1" w:rsidRDefault="00F45840" w:rsidP="00A10E45"/>
        </w:tc>
      </w:tr>
      <w:tr w:rsidR="00F45840" w14:paraId="1367C6C4" w14:textId="77777777" w:rsidTr="00641760">
        <w:tc>
          <w:tcPr>
            <w:tcW w:w="802" w:type="dxa"/>
            <w:shd w:val="clear" w:color="auto" w:fill="FFFFFF" w:themeFill="background1"/>
          </w:tcPr>
          <w:p w14:paraId="1C61AF4B" w14:textId="77777777" w:rsidR="00F45840" w:rsidRDefault="00F45840" w:rsidP="00A10E45">
            <w:r>
              <w:t>36</w:t>
            </w:r>
          </w:p>
        </w:tc>
        <w:tc>
          <w:tcPr>
            <w:tcW w:w="10646" w:type="dxa"/>
            <w:shd w:val="clear" w:color="auto" w:fill="FFFFFF" w:themeFill="background1"/>
          </w:tcPr>
          <w:p w14:paraId="6A8E7FFA" w14:textId="77777777" w:rsidR="00F45840" w:rsidRDefault="003405B5" w:rsidP="003405B5">
            <w:r>
              <w:t>Geef de boek</w:t>
            </w:r>
            <w:r w:rsidR="00F45840" w:rsidRPr="009341E1">
              <w:t xml:space="preserve">jaren </w:t>
            </w:r>
            <w:r>
              <w:t xml:space="preserve">en ongevalsjaren </w:t>
            </w:r>
            <w:r w:rsidR="00F45840" w:rsidRPr="009341E1">
              <w:t>aan waarop de gegevens die worden gebruikt voor de methodes 1 en 2 betrekking hebben.</w:t>
            </w:r>
          </w:p>
        </w:tc>
        <w:tc>
          <w:tcPr>
            <w:tcW w:w="2061" w:type="dxa"/>
            <w:shd w:val="clear" w:color="auto" w:fill="FFFFFF" w:themeFill="background1"/>
          </w:tcPr>
          <w:p w14:paraId="77D076BA" w14:textId="77777777" w:rsidR="00F45840" w:rsidRPr="009341E1" w:rsidRDefault="00F45840" w:rsidP="00A10E45"/>
        </w:tc>
      </w:tr>
      <w:tr w:rsidR="00F45840" w:rsidRPr="007C5373" w14:paraId="7FD22BD3" w14:textId="77777777" w:rsidTr="00641760">
        <w:tc>
          <w:tcPr>
            <w:tcW w:w="802" w:type="dxa"/>
            <w:shd w:val="clear" w:color="auto" w:fill="FFFFFF" w:themeFill="background1"/>
          </w:tcPr>
          <w:p w14:paraId="0F411729" w14:textId="77777777" w:rsidR="00F45840" w:rsidRDefault="00F45840" w:rsidP="00A10E45">
            <w:r>
              <w:t>37</w:t>
            </w:r>
          </w:p>
        </w:tc>
        <w:tc>
          <w:tcPr>
            <w:tcW w:w="10646" w:type="dxa"/>
            <w:shd w:val="clear" w:color="auto" w:fill="FFFFFF" w:themeFill="background1"/>
          </w:tcPr>
          <w:p w14:paraId="4F223E16" w14:textId="77777777" w:rsidR="00F45840" w:rsidRPr="007C5373" w:rsidRDefault="00F45840" w:rsidP="00A10E45">
            <w:r w:rsidRPr="009341E1">
              <w:t>Beschrijf de manier waarop de gegevens die worden gebruikt voor de berekening van de USP</w:t>
            </w:r>
            <w:r>
              <w:t>’</w:t>
            </w:r>
            <w:r w:rsidRPr="009341E1">
              <w:t>s voor het reserverisico aansluiten bij de herverzekeringsdekking en bij de werking van het herverzekeringsprogramma.</w:t>
            </w:r>
          </w:p>
        </w:tc>
        <w:tc>
          <w:tcPr>
            <w:tcW w:w="2061" w:type="dxa"/>
            <w:shd w:val="clear" w:color="auto" w:fill="FFFFFF" w:themeFill="background1"/>
          </w:tcPr>
          <w:p w14:paraId="6FB4A2B0" w14:textId="77777777" w:rsidR="00F45840" w:rsidRPr="009341E1" w:rsidRDefault="00F45840" w:rsidP="00A10E45"/>
        </w:tc>
      </w:tr>
      <w:tr w:rsidR="00F45840" w14:paraId="431FFC80" w14:textId="77777777" w:rsidTr="00641760">
        <w:tc>
          <w:tcPr>
            <w:tcW w:w="802" w:type="dxa"/>
            <w:shd w:val="clear" w:color="auto" w:fill="FFFFFF" w:themeFill="background1"/>
          </w:tcPr>
          <w:p w14:paraId="3CE84174" w14:textId="77777777" w:rsidR="00F45840" w:rsidRDefault="00F45840" w:rsidP="00A10E45">
            <w:r>
              <w:t>38</w:t>
            </w:r>
          </w:p>
        </w:tc>
        <w:tc>
          <w:tcPr>
            <w:tcW w:w="10646" w:type="dxa"/>
            <w:shd w:val="clear" w:color="auto" w:fill="FFFFFF" w:themeFill="background1"/>
          </w:tcPr>
          <w:p w14:paraId="3523C619" w14:textId="77777777" w:rsidR="00F45840" w:rsidRPr="009341E1" w:rsidRDefault="00F45840" w:rsidP="00A10E45">
            <w:r w:rsidRPr="009341E1">
              <w:t>Beschrijf hoe de gegevens voor methode 1 en de cumulatieve schadebedragen voor methode 2 worden aangepast voor de bedragen die verhaald kunnen worden op grond van herverzekeringscontracten en SPV</w:t>
            </w:r>
            <w:r>
              <w:t>’</w:t>
            </w:r>
            <w:r w:rsidRPr="009341E1">
              <w:t>s die gebruikt worden om dekking te verschaffen in de komende 12 maanden.</w:t>
            </w:r>
          </w:p>
        </w:tc>
        <w:tc>
          <w:tcPr>
            <w:tcW w:w="2061" w:type="dxa"/>
            <w:shd w:val="clear" w:color="auto" w:fill="FFFFFF" w:themeFill="background1"/>
          </w:tcPr>
          <w:p w14:paraId="38738772" w14:textId="77777777" w:rsidR="00F45840" w:rsidRPr="009341E1" w:rsidRDefault="00F45840" w:rsidP="00A10E45"/>
        </w:tc>
      </w:tr>
      <w:tr w:rsidR="00F45840" w14:paraId="129901D6" w14:textId="77777777" w:rsidTr="00641760">
        <w:tc>
          <w:tcPr>
            <w:tcW w:w="802" w:type="dxa"/>
            <w:shd w:val="clear" w:color="auto" w:fill="FFFFFF" w:themeFill="background1"/>
          </w:tcPr>
          <w:p w14:paraId="3D269D68" w14:textId="77777777" w:rsidR="00F45840" w:rsidRDefault="00F45840" w:rsidP="00A10E45">
            <w:r>
              <w:t>39</w:t>
            </w:r>
          </w:p>
        </w:tc>
        <w:tc>
          <w:tcPr>
            <w:tcW w:w="10646" w:type="dxa"/>
            <w:shd w:val="clear" w:color="auto" w:fill="FFFFFF" w:themeFill="background1"/>
          </w:tcPr>
          <w:p w14:paraId="0D716FA2" w14:textId="77777777" w:rsidR="00F45840" w:rsidRDefault="00F45840" w:rsidP="00A10E45">
            <w:r w:rsidRPr="009341E1">
              <w:t>Geef aan of er zich significante veranderingen hebben voorgedaan in uw reserveringsbeleid in de periode waarop de gebruikte gegevens betrekking hebben.</w:t>
            </w:r>
          </w:p>
        </w:tc>
        <w:tc>
          <w:tcPr>
            <w:tcW w:w="2061" w:type="dxa"/>
            <w:shd w:val="clear" w:color="auto" w:fill="FFFFFF" w:themeFill="background1"/>
          </w:tcPr>
          <w:p w14:paraId="53D44CF4" w14:textId="77777777" w:rsidR="00F45840" w:rsidRPr="009341E1" w:rsidRDefault="00F45840" w:rsidP="00A10E45"/>
        </w:tc>
      </w:tr>
      <w:tr w:rsidR="00F45840" w14:paraId="5AC9ED63" w14:textId="77777777" w:rsidTr="00641760">
        <w:tc>
          <w:tcPr>
            <w:tcW w:w="802" w:type="dxa"/>
            <w:shd w:val="clear" w:color="auto" w:fill="FFFFFF" w:themeFill="background1"/>
          </w:tcPr>
          <w:p w14:paraId="12E83660" w14:textId="77777777" w:rsidR="00F45840" w:rsidRDefault="00F45840" w:rsidP="00A10E45">
            <w:r>
              <w:t>40</w:t>
            </w:r>
          </w:p>
        </w:tc>
        <w:tc>
          <w:tcPr>
            <w:tcW w:w="10646" w:type="dxa"/>
            <w:shd w:val="clear" w:color="auto" w:fill="FFFFFF" w:themeFill="background1"/>
          </w:tcPr>
          <w:p w14:paraId="717ACD39" w14:textId="77777777" w:rsidR="00F45840" w:rsidRDefault="00F45840" w:rsidP="00A10E45">
            <w:r w:rsidRPr="009341E1">
              <w:t>Beschrijf de manier waarop de kosten zijn meegenomen in de geaggregeerde schadegegevens en specificeer daarbij ook de omvang van de verschillende kostenposten. Geef daarbij ook aan hoe de vaste kosten worden toegewezen in de afzonderlijke segmenten.</w:t>
            </w:r>
          </w:p>
        </w:tc>
        <w:tc>
          <w:tcPr>
            <w:tcW w:w="2061" w:type="dxa"/>
            <w:shd w:val="clear" w:color="auto" w:fill="FFFFFF" w:themeFill="background1"/>
          </w:tcPr>
          <w:p w14:paraId="0F20076F" w14:textId="77777777" w:rsidR="00F45840" w:rsidRPr="009341E1" w:rsidRDefault="00F45840" w:rsidP="00A10E45"/>
        </w:tc>
      </w:tr>
      <w:tr w:rsidR="00F45840" w14:paraId="0A44A70E" w14:textId="77777777" w:rsidTr="00641760">
        <w:tc>
          <w:tcPr>
            <w:tcW w:w="802" w:type="dxa"/>
            <w:shd w:val="clear" w:color="auto" w:fill="FFFFFF" w:themeFill="background1"/>
          </w:tcPr>
          <w:p w14:paraId="0FA4D46C" w14:textId="77777777" w:rsidR="00F45840" w:rsidRDefault="00F45840" w:rsidP="00A10E45">
            <w:r>
              <w:t>41</w:t>
            </w:r>
          </w:p>
        </w:tc>
        <w:tc>
          <w:tcPr>
            <w:tcW w:w="10646" w:type="dxa"/>
            <w:shd w:val="clear" w:color="auto" w:fill="FFFFFF" w:themeFill="background1"/>
          </w:tcPr>
          <w:p w14:paraId="4175E476" w14:textId="77777777" w:rsidR="00F45840" w:rsidRDefault="00F45840" w:rsidP="003405B5">
            <w:r w:rsidRPr="009341E1">
              <w:t xml:space="preserve">Vergelijk en contrasteer de twee methodes die worden gedefinieerd in </w:t>
            </w:r>
            <w:r>
              <w:t xml:space="preserve">Afdeling C en D van </w:t>
            </w:r>
            <w:r w:rsidRPr="009341E1">
              <w:t xml:space="preserve">Bijlage XVII </w:t>
            </w:r>
            <w:r>
              <w:t xml:space="preserve">van de Gedelegeerde Verordening 2015/35 </w:t>
            </w:r>
            <w:r w:rsidRPr="009341E1">
              <w:t>voor de berekening van de USP</w:t>
            </w:r>
            <w:r>
              <w:t>’</w:t>
            </w:r>
            <w:r w:rsidRPr="009341E1">
              <w:t>s voor het reserverisico</w:t>
            </w:r>
            <w:r w:rsidR="003405B5">
              <w:t>. G</w:t>
            </w:r>
            <w:r w:rsidRPr="009341E1">
              <w:t>eef aan waarom de gekozen reserveringsmethode tot de beste resultaten leidt bij het nakomen van de condities die worden vermeldt in Ar</w:t>
            </w:r>
            <w:r w:rsidR="003405B5">
              <w:t>tikel 101(3) van de Solvency 2 R</w:t>
            </w:r>
            <w:r w:rsidRPr="009341E1">
              <w:t>ichtlijn.</w:t>
            </w:r>
          </w:p>
        </w:tc>
        <w:tc>
          <w:tcPr>
            <w:tcW w:w="2061" w:type="dxa"/>
            <w:shd w:val="clear" w:color="auto" w:fill="FFFFFF" w:themeFill="background1"/>
          </w:tcPr>
          <w:p w14:paraId="62CA69AB" w14:textId="77777777" w:rsidR="00F45840" w:rsidRPr="009341E1" w:rsidRDefault="00F45840" w:rsidP="00FF2997"/>
        </w:tc>
      </w:tr>
      <w:tr w:rsidR="00F45840" w14:paraId="16A85C4E" w14:textId="77777777" w:rsidTr="00F45840">
        <w:tc>
          <w:tcPr>
            <w:tcW w:w="11448" w:type="dxa"/>
            <w:gridSpan w:val="2"/>
            <w:shd w:val="clear" w:color="auto" w:fill="D9D9D9" w:themeFill="background1" w:themeFillShade="D9"/>
          </w:tcPr>
          <w:p w14:paraId="06C98713" w14:textId="77777777" w:rsidR="00F45840" w:rsidRPr="00F45840" w:rsidRDefault="00F45840" w:rsidP="00FF2997">
            <w:pPr>
              <w:rPr>
                <w:b/>
              </w:rPr>
            </w:pPr>
            <w:r w:rsidRPr="00F45840">
              <w:rPr>
                <w:b/>
              </w:rPr>
              <w:t>Gegevens voor het reserverisico -  Methode 1 – Afdeling C van Bijlage XVII van de Gedelegeerde Verordening 2015/35</w:t>
            </w:r>
          </w:p>
        </w:tc>
        <w:tc>
          <w:tcPr>
            <w:tcW w:w="2061" w:type="dxa"/>
            <w:shd w:val="clear" w:color="auto" w:fill="D9D9D9" w:themeFill="background1" w:themeFillShade="D9"/>
          </w:tcPr>
          <w:p w14:paraId="7C4FA636" w14:textId="77777777" w:rsidR="00F45840" w:rsidRPr="009341E1" w:rsidRDefault="00F45840" w:rsidP="00FF2997">
            <w:r w:rsidRPr="008D1B3F">
              <w:rPr>
                <w:b/>
              </w:rPr>
              <w:t>Referentie naar document(en)</w:t>
            </w:r>
          </w:p>
        </w:tc>
      </w:tr>
      <w:tr w:rsidR="00F45840" w14:paraId="6A3C1547" w14:textId="77777777" w:rsidTr="00F45840">
        <w:tc>
          <w:tcPr>
            <w:tcW w:w="802" w:type="dxa"/>
            <w:shd w:val="clear" w:color="auto" w:fill="FFFFFF" w:themeFill="background1"/>
          </w:tcPr>
          <w:p w14:paraId="53E9EB62" w14:textId="77777777" w:rsidR="00F45840" w:rsidRDefault="00F45840" w:rsidP="00A10E45">
            <w:r>
              <w:t>42</w:t>
            </w:r>
          </w:p>
        </w:tc>
        <w:tc>
          <w:tcPr>
            <w:tcW w:w="10646" w:type="dxa"/>
            <w:shd w:val="clear" w:color="auto" w:fill="FFFFFF" w:themeFill="background1"/>
          </w:tcPr>
          <w:p w14:paraId="4FF800A4" w14:textId="77777777" w:rsidR="00F45840" w:rsidRDefault="00F45840" w:rsidP="00F379F1">
            <w:r w:rsidRPr="0011137F">
              <w:t xml:space="preserve">Onderbouw voor elk segment dat er een lineair verband bestaat tussen </w:t>
            </w:r>
            <w:r>
              <w:t>de mutatie in</w:t>
            </w:r>
            <w:r w:rsidRPr="0011137F">
              <w:t xml:space="preserve"> de verwachtingswaarde</w:t>
            </w:r>
            <w:r>
              <w:t xml:space="preserve"> </w:t>
            </w:r>
            <w:r w:rsidRPr="0011137F">
              <w:t>voor de voorziening voor uitstaande claims</w:t>
            </w:r>
            <w:r>
              <w:t xml:space="preserve"> gedurende het boekjaar en de tijdens het boekjaar gedane betalingen. </w:t>
            </w:r>
            <w:r w:rsidRPr="0011137F">
              <w:rPr>
                <w:highlight w:val="yellow"/>
              </w:rPr>
              <w:t xml:space="preserve"> </w:t>
            </w:r>
          </w:p>
        </w:tc>
        <w:tc>
          <w:tcPr>
            <w:tcW w:w="2061" w:type="dxa"/>
            <w:shd w:val="clear" w:color="auto" w:fill="FFFFFF" w:themeFill="background1"/>
          </w:tcPr>
          <w:p w14:paraId="783D7EF2" w14:textId="77777777" w:rsidR="00F45840" w:rsidRPr="0011137F" w:rsidRDefault="00F45840" w:rsidP="00F379F1"/>
        </w:tc>
      </w:tr>
      <w:tr w:rsidR="00F45840" w14:paraId="01C7FD2D" w14:textId="77777777" w:rsidTr="00F45840">
        <w:tc>
          <w:tcPr>
            <w:tcW w:w="802" w:type="dxa"/>
            <w:shd w:val="clear" w:color="auto" w:fill="FFFFFF" w:themeFill="background1"/>
          </w:tcPr>
          <w:p w14:paraId="1E093F4E" w14:textId="77777777" w:rsidR="00F45840" w:rsidRDefault="00F45840" w:rsidP="00A10E45">
            <w:r>
              <w:t>43</w:t>
            </w:r>
          </w:p>
        </w:tc>
        <w:tc>
          <w:tcPr>
            <w:tcW w:w="10646" w:type="dxa"/>
            <w:shd w:val="clear" w:color="auto" w:fill="FFFFFF" w:themeFill="background1"/>
          </w:tcPr>
          <w:p w14:paraId="63CE4623" w14:textId="77777777" w:rsidR="00F45840" w:rsidRDefault="00F45840" w:rsidP="003405B5">
            <w:r w:rsidRPr="0011137F">
              <w:t xml:space="preserve">Onderbouw voor elke segment dat er een kwadratisch verband bestaat tussen de schadelast en de verdiende premies voor een bepaald </w:t>
            </w:r>
            <w:r w:rsidR="003405B5">
              <w:t>boek</w:t>
            </w:r>
            <w:r w:rsidRPr="0011137F">
              <w:t>jaar.</w:t>
            </w:r>
          </w:p>
        </w:tc>
        <w:tc>
          <w:tcPr>
            <w:tcW w:w="2061" w:type="dxa"/>
            <w:shd w:val="clear" w:color="auto" w:fill="FFFFFF" w:themeFill="background1"/>
          </w:tcPr>
          <w:p w14:paraId="7B658C65" w14:textId="77777777" w:rsidR="00F45840" w:rsidRPr="0011137F" w:rsidRDefault="00F45840" w:rsidP="00A10E45"/>
        </w:tc>
      </w:tr>
      <w:tr w:rsidR="00F45840" w14:paraId="3E4B8956" w14:textId="77777777" w:rsidTr="00F45840">
        <w:tc>
          <w:tcPr>
            <w:tcW w:w="802" w:type="dxa"/>
            <w:shd w:val="clear" w:color="auto" w:fill="FFFFFF" w:themeFill="background1"/>
          </w:tcPr>
          <w:p w14:paraId="70484BD6" w14:textId="77777777" w:rsidR="00F45840" w:rsidRDefault="00F45840" w:rsidP="00A10E45">
            <w:r>
              <w:t>44</w:t>
            </w:r>
          </w:p>
        </w:tc>
        <w:tc>
          <w:tcPr>
            <w:tcW w:w="10646" w:type="dxa"/>
            <w:shd w:val="clear" w:color="auto" w:fill="FFFFFF" w:themeFill="background1"/>
          </w:tcPr>
          <w:p w14:paraId="20923C32" w14:textId="77777777" w:rsidR="00F45840" w:rsidRDefault="00F45840" w:rsidP="00A10E45">
            <w:r w:rsidRPr="0011137F">
              <w:t>Laat zien dat de schadelast voldoet aan een lognormale verdeling. Laat met een grafiek en de relevante kentallen zie</w:t>
            </w:r>
            <w:r w:rsidR="003405B5">
              <w:t>n</w:t>
            </w:r>
            <w:r w:rsidRPr="0011137F">
              <w:t xml:space="preserve"> hoe de waargenomen gegevens zich verhouden tot de gefitte lognormale verdeling.</w:t>
            </w:r>
          </w:p>
        </w:tc>
        <w:tc>
          <w:tcPr>
            <w:tcW w:w="2061" w:type="dxa"/>
            <w:shd w:val="clear" w:color="auto" w:fill="FFFFFF" w:themeFill="background1"/>
          </w:tcPr>
          <w:p w14:paraId="251C007D" w14:textId="77777777" w:rsidR="00F45840" w:rsidRPr="0011137F" w:rsidRDefault="00F45840" w:rsidP="00A10E45"/>
        </w:tc>
      </w:tr>
      <w:tr w:rsidR="00F45840" w14:paraId="0F35E406" w14:textId="77777777" w:rsidTr="00F45840">
        <w:tc>
          <w:tcPr>
            <w:tcW w:w="802" w:type="dxa"/>
            <w:shd w:val="clear" w:color="auto" w:fill="FFFFFF" w:themeFill="background1"/>
          </w:tcPr>
          <w:p w14:paraId="72E07E7B" w14:textId="77777777" w:rsidR="00F45840" w:rsidRDefault="00F45840" w:rsidP="00A10E45">
            <w:r>
              <w:t>45</w:t>
            </w:r>
          </w:p>
        </w:tc>
        <w:tc>
          <w:tcPr>
            <w:tcW w:w="10646" w:type="dxa"/>
            <w:shd w:val="clear" w:color="auto" w:fill="FFFFFF" w:themeFill="background1"/>
          </w:tcPr>
          <w:p w14:paraId="29613783" w14:textId="77777777" w:rsidR="00F45840" w:rsidRDefault="00F45840" w:rsidP="00F379F1">
            <w:r w:rsidRPr="0011137F">
              <w:t>Onderbouw dat de parameterschatting op basis van maxim</w:t>
            </w:r>
            <w:r>
              <w:t>um</w:t>
            </w:r>
            <w:r w:rsidRPr="0011137F">
              <w:t xml:space="preserve"> </w:t>
            </w:r>
            <w:r>
              <w:t xml:space="preserve">likelihood </w:t>
            </w:r>
            <w:r w:rsidRPr="0011137F">
              <w:t>een geschikte methode is voor de gebruikte gegevens.</w:t>
            </w:r>
          </w:p>
        </w:tc>
        <w:tc>
          <w:tcPr>
            <w:tcW w:w="2061" w:type="dxa"/>
            <w:shd w:val="clear" w:color="auto" w:fill="FFFFFF" w:themeFill="background1"/>
          </w:tcPr>
          <w:p w14:paraId="119B55C3" w14:textId="77777777" w:rsidR="00F45840" w:rsidRPr="0011137F" w:rsidRDefault="00F45840" w:rsidP="00F379F1"/>
        </w:tc>
      </w:tr>
      <w:tr w:rsidR="00F45840" w14:paraId="17B773A0" w14:textId="77777777" w:rsidTr="00F45840">
        <w:tc>
          <w:tcPr>
            <w:tcW w:w="11448" w:type="dxa"/>
            <w:gridSpan w:val="2"/>
            <w:shd w:val="clear" w:color="auto" w:fill="D9D9D9" w:themeFill="background1" w:themeFillShade="D9"/>
          </w:tcPr>
          <w:p w14:paraId="217966EA" w14:textId="77777777" w:rsidR="00F45840" w:rsidRPr="00F45840" w:rsidRDefault="00F45840" w:rsidP="00F379F1">
            <w:pPr>
              <w:rPr>
                <w:b/>
              </w:rPr>
            </w:pPr>
            <w:r w:rsidRPr="00F45840">
              <w:rPr>
                <w:b/>
              </w:rPr>
              <w:t>Gegevens voor het reserverisico - Methode 2 -  Afdeling D van Bijlage XVII van de Gedelegeerde Verordening 2015/35</w:t>
            </w:r>
          </w:p>
        </w:tc>
        <w:tc>
          <w:tcPr>
            <w:tcW w:w="2061" w:type="dxa"/>
            <w:shd w:val="clear" w:color="auto" w:fill="D9D9D9" w:themeFill="background1" w:themeFillShade="D9"/>
          </w:tcPr>
          <w:p w14:paraId="496DE358" w14:textId="77777777" w:rsidR="00F45840" w:rsidRPr="0011137F" w:rsidRDefault="00F45840" w:rsidP="00F379F1">
            <w:r w:rsidRPr="008D1B3F">
              <w:rPr>
                <w:b/>
              </w:rPr>
              <w:t>Referentie naar document(en)</w:t>
            </w:r>
          </w:p>
        </w:tc>
      </w:tr>
      <w:tr w:rsidR="00F45840" w14:paraId="2CC68F9F" w14:textId="77777777" w:rsidTr="00F45840">
        <w:tc>
          <w:tcPr>
            <w:tcW w:w="802" w:type="dxa"/>
            <w:shd w:val="clear" w:color="auto" w:fill="FFFFFF" w:themeFill="background1"/>
          </w:tcPr>
          <w:p w14:paraId="73DB6DA1" w14:textId="77777777" w:rsidR="00F45840" w:rsidRDefault="00F45840" w:rsidP="00994340">
            <w:r>
              <w:t>46</w:t>
            </w:r>
          </w:p>
        </w:tc>
        <w:tc>
          <w:tcPr>
            <w:tcW w:w="10646" w:type="dxa"/>
            <w:shd w:val="clear" w:color="auto" w:fill="FFFFFF" w:themeFill="background1"/>
          </w:tcPr>
          <w:p w14:paraId="4409B5A5" w14:textId="77777777" w:rsidR="00F45840" w:rsidRDefault="00F45840" w:rsidP="003405B5">
            <w:r>
              <w:t xml:space="preserve">Bevestig dat er gegevens beschikbaar zijn voor ten minste vijf opeenvolgende </w:t>
            </w:r>
            <w:r w:rsidR="003405B5">
              <w:t>ongevals</w:t>
            </w:r>
            <w:r>
              <w:t xml:space="preserve">jaren en dat er voor het eerste </w:t>
            </w:r>
            <w:r w:rsidR="003405B5">
              <w:t>ongevals</w:t>
            </w:r>
            <w:r>
              <w:t>jaar gegevens beschikbaar zijn voor minstens vijf aaneensluitende ontwikkelingsjaren.</w:t>
            </w:r>
          </w:p>
        </w:tc>
        <w:tc>
          <w:tcPr>
            <w:tcW w:w="2061" w:type="dxa"/>
            <w:shd w:val="clear" w:color="auto" w:fill="FFFFFF" w:themeFill="background1"/>
          </w:tcPr>
          <w:p w14:paraId="438A5408" w14:textId="77777777" w:rsidR="00F45840" w:rsidRDefault="00F45840" w:rsidP="00994340"/>
        </w:tc>
      </w:tr>
      <w:tr w:rsidR="00F45840" w14:paraId="0EA0B51A" w14:textId="77777777" w:rsidTr="00F45840">
        <w:tc>
          <w:tcPr>
            <w:tcW w:w="802" w:type="dxa"/>
            <w:shd w:val="clear" w:color="auto" w:fill="FFFFFF" w:themeFill="background1"/>
          </w:tcPr>
          <w:p w14:paraId="5880A2FF" w14:textId="77777777" w:rsidR="00F45840" w:rsidRDefault="00F45840" w:rsidP="00994340">
            <w:r>
              <w:t>47</w:t>
            </w:r>
          </w:p>
        </w:tc>
        <w:tc>
          <w:tcPr>
            <w:tcW w:w="10646" w:type="dxa"/>
            <w:shd w:val="clear" w:color="auto" w:fill="FFFFFF" w:themeFill="background1"/>
          </w:tcPr>
          <w:p w14:paraId="59FA017A" w14:textId="77777777" w:rsidR="00F45840" w:rsidRDefault="00F45840" w:rsidP="009D1546">
            <w:r w:rsidRPr="0011137F">
              <w:t xml:space="preserve">Toon aan dat </w:t>
            </w:r>
            <w:r w:rsidR="009D1546">
              <w:t xml:space="preserve">het eerste ongevalsjaar </w:t>
            </w:r>
            <w:r w:rsidRPr="0011137F">
              <w:t xml:space="preserve">het cumulatieve betaalde schadebedrag voor het eerste </w:t>
            </w:r>
            <w:r w:rsidR="009D1546">
              <w:t>ongevals</w:t>
            </w:r>
            <w:r w:rsidRPr="0011137F">
              <w:t xml:space="preserve">jaar </w:t>
            </w:r>
            <w:r w:rsidR="009D1546">
              <w:t xml:space="preserve">waarvoor gegevens beschikbaar zijn, alle </w:t>
            </w:r>
            <w:r w:rsidRPr="0011137F">
              <w:t xml:space="preserve">betalingen omvat voor dat </w:t>
            </w:r>
            <w:r w:rsidR="009D1546">
              <w:t>ongevals</w:t>
            </w:r>
            <w:r w:rsidRPr="0011137F">
              <w:t>jaar behoudens een immaterieel bedrag.</w:t>
            </w:r>
          </w:p>
        </w:tc>
        <w:tc>
          <w:tcPr>
            <w:tcW w:w="2061" w:type="dxa"/>
            <w:shd w:val="clear" w:color="auto" w:fill="FFFFFF" w:themeFill="background1"/>
          </w:tcPr>
          <w:p w14:paraId="67179449" w14:textId="77777777" w:rsidR="00F45840" w:rsidRPr="0011137F" w:rsidRDefault="00F45840" w:rsidP="00994340"/>
        </w:tc>
      </w:tr>
      <w:tr w:rsidR="00F45840" w14:paraId="27027D94" w14:textId="77777777" w:rsidTr="00F45840">
        <w:tc>
          <w:tcPr>
            <w:tcW w:w="802" w:type="dxa"/>
            <w:shd w:val="clear" w:color="auto" w:fill="FFFFFF" w:themeFill="background1"/>
          </w:tcPr>
          <w:p w14:paraId="46504E3B" w14:textId="77777777" w:rsidR="00F45840" w:rsidRDefault="00F45840" w:rsidP="00994340">
            <w:r>
              <w:t>48</w:t>
            </w:r>
          </w:p>
        </w:tc>
        <w:tc>
          <w:tcPr>
            <w:tcW w:w="10646" w:type="dxa"/>
            <w:shd w:val="clear" w:color="auto" w:fill="FFFFFF" w:themeFill="background1"/>
          </w:tcPr>
          <w:p w14:paraId="11D61896" w14:textId="77777777" w:rsidR="00F45840" w:rsidRDefault="00F45840" w:rsidP="00172086">
            <w:r w:rsidRPr="0011137F">
              <w:t xml:space="preserve">Geef aan hoe de gegevens consistent zijn met de aannames over de stochastische eigenschappen van cumulatieve </w:t>
            </w:r>
            <w:r w:rsidR="00172086">
              <w:t>schade</w:t>
            </w:r>
            <w:r w:rsidRPr="0011137F">
              <w:t>bedragen zoals die zijn beschreven in Bijlage XVI</w:t>
            </w:r>
            <w:r>
              <w:t>I van de Gedelegeerde Verordening 2015/35</w:t>
            </w:r>
            <w:r w:rsidRPr="0011137F">
              <w:t>.</w:t>
            </w:r>
          </w:p>
        </w:tc>
        <w:tc>
          <w:tcPr>
            <w:tcW w:w="2061" w:type="dxa"/>
            <w:shd w:val="clear" w:color="auto" w:fill="FFFFFF" w:themeFill="background1"/>
          </w:tcPr>
          <w:p w14:paraId="5D79DC3A" w14:textId="77777777" w:rsidR="00F45840" w:rsidRPr="0011137F" w:rsidRDefault="00F45840" w:rsidP="00994340"/>
        </w:tc>
      </w:tr>
    </w:tbl>
    <w:p w14:paraId="25986ECF" w14:textId="77777777" w:rsidR="00E113AC" w:rsidRDefault="00E113AC">
      <w:r w:rsidRPr="009341E1">
        <w:t>Tabel 8: Reserverisico</w:t>
      </w:r>
      <w:r>
        <w:t xml:space="preserve"> </w:t>
      </w:r>
      <w:r w:rsidR="008516FF">
        <w:t>– Bijlage XVII van de Gedelegeerde Verordening 2015/35</w:t>
      </w:r>
      <w:r>
        <w:br w:type="page"/>
      </w:r>
    </w:p>
    <w:p w14:paraId="63DFBF15" w14:textId="77777777" w:rsidR="003E1F69" w:rsidRDefault="00172086">
      <w:pPr>
        <w:spacing w:after="160"/>
      </w:pPr>
      <w:r>
        <w:lastRenderedPageBreak/>
        <w:t>Tabel 9</w:t>
      </w:r>
      <w:r w:rsidR="00F45840">
        <w:t>: Gegevens methode niet-proportionele herverzekering</w:t>
      </w:r>
      <w:r w:rsidR="008516FF">
        <w:t xml:space="preserve"> – Bijlage XVII van de Gedelegeerde Verordening 2015/35</w:t>
      </w:r>
    </w:p>
    <w:p w14:paraId="19B27833" w14:textId="77777777" w:rsidR="00F278E5" w:rsidRDefault="0011137F" w:rsidP="0011137F">
      <w:pPr>
        <w:pStyle w:val="Lijstalinea"/>
        <w:ind w:left="0"/>
      </w:pPr>
      <w:r>
        <w:t xml:space="preserve"> </w:t>
      </w:r>
    </w:p>
    <w:tbl>
      <w:tblPr>
        <w:tblStyle w:val="Tabelraster"/>
        <w:tblpPr w:leftFromText="141" w:rightFromText="141" w:horzAnchor="margin" w:tblpY="615"/>
        <w:tblW w:w="13509" w:type="dxa"/>
        <w:tblLook w:val="04A0" w:firstRow="1" w:lastRow="0" w:firstColumn="1" w:lastColumn="0" w:noHBand="0" w:noVBand="1"/>
      </w:tblPr>
      <w:tblGrid>
        <w:gridCol w:w="796"/>
        <w:gridCol w:w="10652"/>
        <w:gridCol w:w="2061"/>
      </w:tblGrid>
      <w:tr w:rsidR="00641760" w14:paraId="38F1C2D2" w14:textId="77777777" w:rsidTr="00641760">
        <w:tc>
          <w:tcPr>
            <w:tcW w:w="11448" w:type="dxa"/>
            <w:gridSpan w:val="2"/>
            <w:shd w:val="clear" w:color="auto" w:fill="D9D9D9" w:themeFill="background1" w:themeFillShade="D9"/>
          </w:tcPr>
          <w:p w14:paraId="6EBA01C2" w14:textId="77777777" w:rsidR="00641760" w:rsidRPr="00641760" w:rsidRDefault="00641760" w:rsidP="006809CC">
            <w:pPr>
              <w:rPr>
                <w:b/>
              </w:rPr>
            </w:pPr>
            <w:r w:rsidRPr="00641760">
              <w:rPr>
                <w:b/>
              </w:rPr>
              <w:t>Gegevens voor de niet-proportionele herverzekeringsmethode</w:t>
            </w:r>
          </w:p>
        </w:tc>
        <w:tc>
          <w:tcPr>
            <w:tcW w:w="2061" w:type="dxa"/>
            <w:shd w:val="clear" w:color="auto" w:fill="D9D9D9" w:themeFill="background1" w:themeFillShade="D9"/>
          </w:tcPr>
          <w:p w14:paraId="70E26962" w14:textId="77777777" w:rsidR="00641760" w:rsidRDefault="00641760" w:rsidP="006809CC">
            <w:r w:rsidRPr="008D1B3F">
              <w:rPr>
                <w:b/>
              </w:rPr>
              <w:t>Referentie naar document(en)</w:t>
            </w:r>
          </w:p>
        </w:tc>
      </w:tr>
      <w:tr w:rsidR="00641760" w14:paraId="07A4549A" w14:textId="77777777" w:rsidTr="00641760">
        <w:tc>
          <w:tcPr>
            <w:tcW w:w="796" w:type="dxa"/>
            <w:shd w:val="clear" w:color="auto" w:fill="FFFFFF" w:themeFill="background1"/>
          </w:tcPr>
          <w:p w14:paraId="2DCBD39F" w14:textId="77777777" w:rsidR="00641760" w:rsidRDefault="00641760" w:rsidP="00A10E45">
            <w:r>
              <w:t>49</w:t>
            </w:r>
          </w:p>
        </w:tc>
        <w:tc>
          <w:tcPr>
            <w:tcW w:w="10652" w:type="dxa"/>
            <w:shd w:val="clear" w:color="auto" w:fill="FFFFFF" w:themeFill="background1"/>
          </w:tcPr>
          <w:p w14:paraId="7F8252B9" w14:textId="77777777" w:rsidR="00641760" w:rsidRDefault="00641760" w:rsidP="00A349E7">
            <w:r>
              <w:t>Geef aan voor ieder segment waarop niet-proportionele herverzekering is toegepast, hoe deze voldoet aan de voorwaarden conform Artikel 218 van de Gedelegeerde Verordening 2015/35</w:t>
            </w:r>
          </w:p>
        </w:tc>
        <w:tc>
          <w:tcPr>
            <w:tcW w:w="2061" w:type="dxa"/>
            <w:shd w:val="clear" w:color="auto" w:fill="FFFFFF" w:themeFill="background1"/>
          </w:tcPr>
          <w:p w14:paraId="45AC8CDA" w14:textId="77777777" w:rsidR="00641760" w:rsidRDefault="00641760" w:rsidP="00A349E7"/>
        </w:tc>
      </w:tr>
      <w:tr w:rsidR="00641760" w14:paraId="31E67ECB" w14:textId="77777777" w:rsidTr="00641760">
        <w:tc>
          <w:tcPr>
            <w:tcW w:w="796" w:type="dxa"/>
            <w:shd w:val="clear" w:color="auto" w:fill="FFFFFF" w:themeFill="background1"/>
          </w:tcPr>
          <w:p w14:paraId="464E3D69" w14:textId="77777777" w:rsidR="00641760" w:rsidRDefault="00641760" w:rsidP="00A10E45">
            <w:r>
              <w:t>50</w:t>
            </w:r>
          </w:p>
        </w:tc>
        <w:tc>
          <w:tcPr>
            <w:tcW w:w="10652" w:type="dxa"/>
            <w:shd w:val="clear" w:color="auto" w:fill="FFFFFF" w:themeFill="background1"/>
          </w:tcPr>
          <w:p w14:paraId="4296B817" w14:textId="77777777" w:rsidR="00641760" w:rsidRDefault="00641760" w:rsidP="001E2883">
            <w:r>
              <w:t>Licht de veranderingen toe die in de komende 12 maanden worden voorzien in de samenstelling van de producten en het herverzekeringscontract vergeleken met de gegevens die zijn toegepast bij de berekeningen.</w:t>
            </w:r>
          </w:p>
        </w:tc>
        <w:tc>
          <w:tcPr>
            <w:tcW w:w="2061" w:type="dxa"/>
            <w:shd w:val="clear" w:color="auto" w:fill="FFFFFF" w:themeFill="background1"/>
          </w:tcPr>
          <w:p w14:paraId="2B21271E" w14:textId="77777777" w:rsidR="00641760" w:rsidRDefault="00641760" w:rsidP="001E2883"/>
        </w:tc>
      </w:tr>
      <w:tr w:rsidR="00641760" w14:paraId="75324083" w14:textId="77777777" w:rsidTr="00641760">
        <w:tc>
          <w:tcPr>
            <w:tcW w:w="796" w:type="dxa"/>
            <w:shd w:val="clear" w:color="auto" w:fill="FFFFFF" w:themeFill="background1"/>
          </w:tcPr>
          <w:p w14:paraId="729B03DD" w14:textId="77777777" w:rsidR="00641760" w:rsidRDefault="00641760" w:rsidP="00A10E45">
            <w:r>
              <w:t>51</w:t>
            </w:r>
          </w:p>
        </w:tc>
        <w:tc>
          <w:tcPr>
            <w:tcW w:w="10652" w:type="dxa"/>
            <w:shd w:val="clear" w:color="auto" w:fill="FFFFFF" w:themeFill="background1"/>
          </w:tcPr>
          <w:p w14:paraId="3FF0387C" w14:textId="77777777" w:rsidR="00641760" w:rsidRDefault="00641760" w:rsidP="00641760">
            <w:r>
              <w:t>Vergelijk de verschillen tussen de standaardafwijkingen voor het premierisico dat blijkt uit de schadegegevens met de standaardafwijkingen die is gebruikt om de kapitaalsvereiste voor het premierisico te berekenen en beschrijf de verschillen.</w:t>
            </w:r>
          </w:p>
        </w:tc>
        <w:tc>
          <w:tcPr>
            <w:tcW w:w="2061" w:type="dxa"/>
            <w:shd w:val="clear" w:color="auto" w:fill="FFFFFF" w:themeFill="background1"/>
          </w:tcPr>
          <w:p w14:paraId="7DB3C8FB" w14:textId="77777777" w:rsidR="00641760" w:rsidRDefault="00641760" w:rsidP="00A349E7"/>
        </w:tc>
      </w:tr>
      <w:tr w:rsidR="00641760" w14:paraId="743224D5" w14:textId="77777777" w:rsidTr="00641760">
        <w:tc>
          <w:tcPr>
            <w:tcW w:w="796" w:type="dxa"/>
            <w:shd w:val="clear" w:color="auto" w:fill="FFFFFF" w:themeFill="background1"/>
          </w:tcPr>
          <w:p w14:paraId="23E1E132" w14:textId="77777777" w:rsidR="00641760" w:rsidRDefault="00641760" w:rsidP="00A10E45">
            <w:r>
              <w:t>52</w:t>
            </w:r>
          </w:p>
        </w:tc>
        <w:tc>
          <w:tcPr>
            <w:tcW w:w="10652" w:type="dxa"/>
            <w:shd w:val="clear" w:color="auto" w:fill="FFFFFF" w:themeFill="background1"/>
          </w:tcPr>
          <w:p w14:paraId="2B88FB87" w14:textId="77777777" w:rsidR="00641760" w:rsidRDefault="00641760" w:rsidP="00A10E45">
            <w:r>
              <w:t>Onderbouw dat de uiteindelijke schadekosten zijn geschat in het jaar dat de schade was gemeld, i.e. de initiële schatting van de schadekosten.</w:t>
            </w:r>
          </w:p>
        </w:tc>
        <w:tc>
          <w:tcPr>
            <w:tcW w:w="2061" w:type="dxa"/>
            <w:shd w:val="clear" w:color="auto" w:fill="FFFFFF" w:themeFill="background1"/>
          </w:tcPr>
          <w:p w14:paraId="41264502" w14:textId="77777777" w:rsidR="00641760" w:rsidRDefault="00641760" w:rsidP="00A10E45"/>
        </w:tc>
      </w:tr>
      <w:tr w:rsidR="00641760" w:rsidRPr="007C5373" w14:paraId="0B3CB0D5" w14:textId="77777777" w:rsidTr="00641760">
        <w:tc>
          <w:tcPr>
            <w:tcW w:w="796" w:type="dxa"/>
            <w:shd w:val="clear" w:color="auto" w:fill="FFFFFF" w:themeFill="background1"/>
          </w:tcPr>
          <w:p w14:paraId="42BBE7AE" w14:textId="77777777" w:rsidR="00641760" w:rsidRDefault="00641760" w:rsidP="00A10E45">
            <w:r>
              <w:t>53</w:t>
            </w:r>
          </w:p>
        </w:tc>
        <w:tc>
          <w:tcPr>
            <w:tcW w:w="10652" w:type="dxa"/>
            <w:shd w:val="clear" w:color="auto" w:fill="FFFFFF" w:themeFill="background1"/>
          </w:tcPr>
          <w:p w14:paraId="3DB3D20E" w14:textId="77777777" w:rsidR="00641760" w:rsidRPr="007C5373" w:rsidRDefault="00641760" w:rsidP="00172086">
            <w:r>
              <w:t xml:space="preserve">Verstrek een overzicht van de </w:t>
            </w:r>
            <w:r w:rsidR="00172086">
              <w:t>verslag</w:t>
            </w:r>
            <w:r>
              <w:t>jaren waaraan de data  zijn gerelateerd.</w:t>
            </w:r>
          </w:p>
        </w:tc>
        <w:tc>
          <w:tcPr>
            <w:tcW w:w="2061" w:type="dxa"/>
            <w:shd w:val="clear" w:color="auto" w:fill="FFFFFF" w:themeFill="background1"/>
          </w:tcPr>
          <w:p w14:paraId="368E46BE" w14:textId="77777777" w:rsidR="00641760" w:rsidRDefault="00641760" w:rsidP="00A10E45"/>
        </w:tc>
      </w:tr>
      <w:tr w:rsidR="00641760" w:rsidRPr="003B21BA" w14:paraId="7632A528" w14:textId="77777777" w:rsidTr="00641760">
        <w:tc>
          <w:tcPr>
            <w:tcW w:w="796" w:type="dxa"/>
            <w:shd w:val="clear" w:color="auto" w:fill="FFFFFF" w:themeFill="background1"/>
          </w:tcPr>
          <w:p w14:paraId="32588BA2" w14:textId="77777777" w:rsidR="00641760" w:rsidRDefault="00641760" w:rsidP="00A10E45">
            <w:r>
              <w:t>54</w:t>
            </w:r>
          </w:p>
        </w:tc>
        <w:tc>
          <w:tcPr>
            <w:tcW w:w="10652" w:type="dxa"/>
            <w:shd w:val="clear" w:color="auto" w:fill="FFFFFF" w:themeFill="background1"/>
          </w:tcPr>
          <w:p w14:paraId="09F19ECC" w14:textId="77777777" w:rsidR="00641760" w:rsidRPr="00F11B24" w:rsidRDefault="00641760" w:rsidP="00FB395F">
            <w:r w:rsidRPr="00F11B24">
              <w:t xml:space="preserve">Bevestig </w:t>
            </w:r>
            <w:r>
              <w:t>of de uiteindelijke schadebedr</w:t>
            </w:r>
            <w:r w:rsidR="00172086">
              <w:t>agen eveneens bestaan</w:t>
            </w:r>
            <w:r>
              <w:t xml:space="preserve"> uit de kosten uit hoofde van het afwikkelen van de (her)verzekeringsverplichtingen.</w:t>
            </w:r>
          </w:p>
        </w:tc>
        <w:tc>
          <w:tcPr>
            <w:tcW w:w="2061" w:type="dxa"/>
            <w:shd w:val="clear" w:color="auto" w:fill="FFFFFF" w:themeFill="background1"/>
          </w:tcPr>
          <w:p w14:paraId="15659C87" w14:textId="77777777" w:rsidR="00641760" w:rsidRPr="00F11B24" w:rsidRDefault="00641760" w:rsidP="00FB395F"/>
        </w:tc>
      </w:tr>
      <w:tr w:rsidR="00641760" w14:paraId="34276EAE" w14:textId="77777777" w:rsidTr="00641760">
        <w:tc>
          <w:tcPr>
            <w:tcW w:w="796" w:type="dxa"/>
            <w:shd w:val="clear" w:color="auto" w:fill="FFFFFF" w:themeFill="background1"/>
          </w:tcPr>
          <w:p w14:paraId="0FF6DFA1" w14:textId="77777777" w:rsidR="00641760" w:rsidRDefault="00641760" w:rsidP="00A10E45">
            <w:r>
              <w:t>55</w:t>
            </w:r>
          </w:p>
        </w:tc>
        <w:tc>
          <w:tcPr>
            <w:tcW w:w="10652" w:type="dxa"/>
            <w:shd w:val="clear" w:color="auto" w:fill="FFFFFF" w:themeFill="background1"/>
          </w:tcPr>
          <w:p w14:paraId="0CEDCCC7" w14:textId="77777777" w:rsidR="00641760" w:rsidRDefault="00641760" w:rsidP="00AE2767">
            <w:r>
              <w:t xml:space="preserve">Onderbouw dat de uiteindelijke schadebedragen een lognormale verdeling hebben. Laat met behulp van een grafiek zien hoe de waargenomen gegevens zich verhouden tot de gefitte lognormale verdeling. </w:t>
            </w:r>
          </w:p>
        </w:tc>
        <w:tc>
          <w:tcPr>
            <w:tcW w:w="2061" w:type="dxa"/>
            <w:shd w:val="clear" w:color="auto" w:fill="FFFFFF" w:themeFill="background1"/>
          </w:tcPr>
          <w:p w14:paraId="19D5A4FE" w14:textId="77777777" w:rsidR="00641760" w:rsidRDefault="00641760" w:rsidP="00AE2767"/>
        </w:tc>
      </w:tr>
      <w:tr w:rsidR="00641760" w14:paraId="4D02A15C" w14:textId="77777777" w:rsidTr="00641760">
        <w:tc>
          <w:tcPr>
            <w:tcW w:w="796" w:type="dxa"/>
            <w:shd w:val="clear" w:color="auto" w:fill="FFFFFF" w:themeFill="background1"/>
          </w:tcPr>
          <w:p w14:paraId="67CDCAD9" w14:textId="77777777" w:rsidR="00641760" w:rsidRDefault="00641760" w:rsidP="00A10E45">
            <w:r>
              <w:t>56</w:t>
            </w:r>
          </w:p>
        </w:tc>
        <w:tc>
          <w:tcPr>
            <w:tcW w:w="10652" w:type="dxa"/>
            <w:shd w:val="clear" w:color="auto" w:fill="FFFFFF" w:themeFill="background1"/>
          </w:tcPr>
          <w:p w14:paraId="5CEBC52A" w14:textId="77777777" w:rsidR="00641760" w:rsidRDefault="00641760" w:rsidP="00022423">
            <w:r>
              <w:t xml:space="preserve">Licht toe hoe de gegevens  voor de komende 12 maanden vóór en ná de niet-proportionele herverzekering voldoen aan de voorwaarden van  de Richtsnoeren 1 tot en met 4 die zijn vermeld in </w:t>
            </w:r>
            <w:r w:rsidR="0038034B">
              <w:t>“</w:t>
            </w:r>
            <w:r w:rsidR="00022423">
              <w:t>R</w:t>
            </w:r>
            <w:r>
              <w:t xml:space="preserve">ichtsnoeren </w:t>
            </w:r>
            <w:r w:rsidR="00022423">
              <w:t xml:space="preserve">inzake </w:t>
            </w:r>
            <w:r>
              <w:t>ondernemingsspecifieke parameters</w:t>
            </w:r>
            <w:r w:rsidR="0038034B">
              <w:t>”</w:t>
            </w:r>
            <w:r w:rsidR="00022423">
              <w:t xml:space="preserve"> met als referentie </w:t>
            </w:r>
            <w:r w:rsidR="0038034B">
              <w:t>“</w:t>
            </w:r>
            <w:r w:rsidR="00022423">
              <w:t>EIOPA-BoS-14/178 NL</w:t>
            </w:r>
            <w:r w:rsidR="0038034B">
              <w:t>”</w:t>
            </w:r>
            <w:r>
              <w:t>.</w:t>
            </w:r>
          </w:p>
        </w:tc>
        <w:tc>
          <w:tcPr>
            <w:tcW w:w="2061" w:type="dxa"/>
            <w:shd w:val="clear" w:color="auto" w:fill="FFFFFF" w:themeFill="background1"/>
          </w:tcPr>
          <w:p w14:paraId="5BF7D065" w14:textId="77777777" w:rsidR="00641760" w:rsidRDefault="00641760" w:rsidP="00D537D8"/>
        </w:tc>
      </w:tr>
    </w:tbl>
    <w:p w14:paraId="78F52B1F" w14:textId="77777777" w:rsidR="001C239F" w:rsidRPr="004F3D07" w:rsidRDefault="001C239F">
      <w:pPr>
        <w:spacing w:after="160"/>
      </w:pPr>
    </w:p>
    <w:p w14:paraId="70844942" w14:textId="77777777" w:rsidR="0011137F" w:rsidRPr="004F3D07" w:rsidRDefault="0011137F">
      <w:pPr>
        <w:spacing w:after="160"/>
      </w:pPr>
      <w:r w:rsidRPr="004F3D07">
        <w:br w:type="page"/>
      </w:r>
    </w:p>
    <w:p w14:paraId="1DFB52B4" w14:textId="77777777" w:rsidR="003E1F69" w:rsidRPr="00022423" w:rsidRDefault="003E1F69" w:rsidP="003E1F69">
      <w:r w:rsidRPr="00022423">
        <w:lastRenderedPageBreak/>
        <w:t>Tabel 1</w:t>
      </w:r>
      <w:r w:rsidR="0011137F" w:rsidRPr="00022423">
        <w:t>0</w:t>
      </w:r>
      <w:r w:rsidRPr="00022423">
        <w:t xml:space="preserve">: </w:t>
      </w:r>
      <w:r w:rsidR="00022423">
        <w:t>Gegevens herzieningsrisico Leven en Ziekte</w:t>
      </w:r>
      <w:r w:rsidR="0038034B">
        <w:t xml:space="preserve"> - Bijlage XVII van de Gedelegeerde Verordening 2015/35</w:t>
      </w:r>
    </w:p>
    <w:p w14:paraId="4DA08241" w14:textId="77777777" w:rsidR="003E1F69" w:rsidRPr="00022423" w:rsidRDefault="003E1F69" w:rsidP="003E1F69"/>
    <w:p w14:paraId="21B1E0AA" w14:textId="77777777" w:rsidR="008C6A02" w:rsidRPr="00022423" w:rsidRDefault="008C6A02" w:rsidP="008C6A02"/>
    <w:tbl>
      <w:tblPr>
        <w:tblStyle w:val="Tabelraster"/>
        <w:tblpPr w:leftFromText="141" w:rightFromText="141" w:horzAnchor="margin" w:tblpY="615"/>
        <w:tblW w:w="13509" w:type="dxa"/>
        <w:tblLook w:val="04A0" w:firstRow="1" w:lastRow="0" w:firstColumn="1" w:lastColumn="0" w:noHBand="0" w:noVBand="1"/>
      </w:tblPr>
      <w:tblGrid>
        <w:gridCol w:w="802"/>
        <w:gridCol w:w="10646"/>
        <w:gridCol w:w="2061"/>
      </w:tblGrid>
      <w:tr w:rsidR="00022423" w:rsidRPr="00022423" w14:paraId="1A688C08" w14:textId="77777777" w:rsidTr="00022423">
        <w:tc>
          <w:tcPr>
            <w:tcW w:w="11448" w:type="dxa"/>
            <w:gridSpan w:val="2"/>
            <w:shd w:val="clear" w:color="auto" w:fill="D9D9D9" w:themeFill="background1" w:themeFillShade="D9"/>
          </w:tcPr>
          <w:p w14:paraId="4004A68F" w14:textId="77777777" w:rsidR="00022423" w:rsidRPr="00022423" w:rsidRDefault="00022423" w:rsidP="00DC2151">
            <w:pPr>
              <w:rPr>
                <w:b/>
              </w:rPr>
            </w:pPr>
            <w:r w:rsidRPr="00022423">
              <w:rPr>
                <w:b/>
              </w:rPr>
              <w:t>Gegevens herzieningsrisico voor het levensverzekeringsbedrijf en het ziekteverzekeringsbedrijf</w:t>
            </w:r>
          </w:p>
        </w:tc>
        <w:tc>
          <w:tcPr>
            <w:tcW w:w="2061" w:type="dxa"/>
            <w:shd w:val="clear" w:color="auto" w:fill="D9D9D9" w:themeFill="background1" w:themeFillShade="D9"/>
          </w:tcPr>
          <w:p w14:paraId="0D769CC3" w14:textId="77777777" w:rsidR="00022423" w:rsidRPr="00022423" w:rsidRDefault="00022423" w:rsidP="00DC2151">
            <w:r w:rsidRPr="008D1B3F">
              <w:rPr>
                <w:b/>
              </w:rPr>
              <w:t>Referentie naar document(en)</w:t>
            </w:r>
          </w:p>
        </w:tc>
      </w:tr>
      <w:tr w:rsidR="00022423" w:rsidRPr="00022423" w14:paraId="50974750" w14:textId="77777777" w:rsidTr="00022423">
        <w:tc>
          <w:tcPr>
            <w:tcW w:w="802" w:type="dxa"/>
            <w:shd w:val="clear" w:color="auto" w:fill="FFFFFF" w:themeFill="background1"/>
          </w:tcPr>
          <w:p w14:paraId="37D0C24F" w14:textId="77777777" w:rsidR="00022423" w:rsidRPr="00022423" w:rsidRDefault="00022423" w:rsidP="00A10E45">
            <w:r w:rsidRPr="00022423">
              <w:t>57</w:t>
            </w:r>
          </w:p>
        </w:tc>
        <w:tc>
          <w:tcPr>
            <w:tcW w:w="10646" w:type="dxa"/>
            <w:shd w:val="clear" w:color="auto" w:fill="FFFFFF" w:themeFill="background1"/>
          </w:tcPr>
          <w:p w14:paraId="5EBB1B67" w14:textId="77777777" w:rsidR="00022423" w:rsidRPr="00022423" w:rsidRDefault="00022423" w:rsidP="00022423">
            <w:r w:rsidRPr="00022423">
              <w:t>Toon aan dat de data voor het herzieningsrisico waaraan uw verzekeraars de komende 12 maanden blootstaat, representatief zijn.</w:t>
            </w:r>
          </w:p>
        </w:tc>
        <w:tc>
          <w:tcPr>
            <w:tcW w:w="2061" w:type="dxa"/>
            <w:shd w:val="clear" w:color="auto" w:fill="FFFFFF" w:themeFill="background1"/>
          </w:tcPr>
          <w:p w14:paraId="4B171BEE" w14:textId="77777777" w:rsidR="00022423" w:rsidRPr="00022423" w:rsidRDefault="00022423" w:rsidP="00DC2151"/>
        </w:tc>
      </w:tr>
      <w:tr w:rsidR="00022423" w:rsidRPr="00022423" w14:paraId="71FCB085" w14:textId="77777777" w:rsidTr="00022423">
        <w:tc>
          <w:tcPr>
            <w:tcW w:w="802" w:type="dxa"/>
            <w:shd w:val="clear" w:color="auto" w:fill="FFFFFF" w:themeFill="background1"/>
          </w:tcPr>
          <w:p w14:paraId="56979756" w14:textId="77777777" w:rsidR="00022423" w:rsidRPr="00022423" w:rsidRDefault="00022423" w:rsidP="00A10E45">
            <w:r w:rsidRPr="00022423">
              <w:t>58</w:t>
            </w:r>
          </w:p>
        </w:tc>
        <w:tc>
          <w:tcPr>
            <w:tcW w:w="10646" w:type="dxa"/>
            <w:shd w:val="clear" w:color="auto" w:fill="FFFFFF" w:themeFill="background1"/>
          </w:tcPr>
          <w:p w14:paraId="10959ED4" w14:textId="77777777" w:rsidR="00022423" w:rsidRPr="00022423" w:rsidRDefault="0038034B" w:rsidP="0038034B">
            <w:r>
              <w:t>Geef aan o</w:t>
            </w:r>
            <w:r w:rsidR="00022423" w:rsidRPr="00022423">
              <w:t xml:space="preserve">p welke </w:t>
            </w:r>
            <w:r>
              <w:t>boek</w:t>
            </w:r>
            <w:r w:rsidR="00022423" w:rsidRPr="00022423">
              <w:t>jaren de data betrekking</w:t>
            </w:r>
            <w:r>
              <w:t xml:space="preserve"> heeft.</w:t>
            </w:r>
          </w:p>
        </w:tc>
        <w:tc>
          <w:tcPr>
            <w:tcW w:w="2061" w:type="dxa"/>
            <w:shd w:val="clear" w:color="auto" w:fill="FFFFFF" w:themeFill="background1"/>
          </w:tcPr>
          <w:p w14:paraId="56FAE3A9" w14:textId="77777777" w:rsidR="00022423" w:rsidRPr="00022423" w:rsidRDefault="00022423" w:rsidP="00A10E45"/>
        </w:tc>
      </w:tr>
      <w:tr w:rsidR="00022423" w:rsidRPr="00022423" w14:paraId="36C153FB" w14:textId="77777777" w:rsidTr="00022423">
        <w:tc>
          <w:tcPr>
            <w:tcW w:w="802" w:type="dxa"/>
            <w:shd w:val="clear" w:color="auto" w:fill="FFFFFF" w:themeFill="background1"/>
          </w:tcPr>
          <w:p w14:paraId="060CCE43" w14:textId="77777777" w:rsidR="00022423" w:rsidRPr="00022423" w:rsidRDefault="00022423" w:rsidP="00A10E45">
            <w:r w:rsidRPr="00022423">
              <w:t>59</w:t>
            </w:r>
          </w:p>
        </w:tc>
        <w:tc>
          <w:tcPr>
            <w:tcW w:w="10646" w:type="dxa"/>
            <w:shd w:val="clear" w:color="auto" w:fill="FFFFFF" w:themeFill="background1"/>
          </w:tcPr>
          <w:p w14:paraId="3451A234" w14:textId="77777777" w:rsidR="00022423" w:rsidRPr="00022423" w:rsidRDefault="00022423" w:rsidP="005E2111">
            <w:r w:rsidRPr="00022423">
              <w:t xml:space="preserve">Bevestig dat de </w:t>
            </w:r>
            <w:r w:rsidR="005E2111">
              <w:t>lijfrente-uitkeringen</w:t>
            </w:r>
            <w:r w:rsidRPr="00022423">
              <w:t xml:space="preserve"> bruto zijn, zonder aftrek van bedragen die gedekt worden d</w:t>
            </w:r>
            <w:r w:rsidR="0038034B">
              <w:t xml:space="preserve">oor herverzekeringsconstructies </w:t>
            </w:r>
            <w:r w:rsidRPr="00022423">
              <w:t>en SPV’s</w:t>
            </w:r>
            <w:r w:rsidR="0038034B">
              <w:t>.</w:t>
            </w:r>
          </w:p>
        </w:tc>
        <w:tc>
          <w:tcPr>
            <w:tcW w:w="2061" w:type="dxa"/>
            <w:shd w:val="clear" w:color="auto" w:fill="FFFFFF" w:themeFill="background1"/>
          </w:tcPr>
          <w:p w14:paraId="3AC871C5" w14:textId="77777777" w:rsidR="00022423" w:rsidRPr="00022423" w:rsidRDefault="00022423" w:rsidP="00A10E45"/>
        </w:tc>
      </w:tr>
      <w:tr w:rsidR="00022423" w:rsidRPr="00022423" w14:paraId="37096550" w14:textId="77777777" w:rsidTr="00022423">
        <w:tc>
          <w:tcPr>
            <w:tcW w:w="802" w:type="dxa"/>
            <w:shd w:val="clear" w:color="auto" w:fill="FFFFFF" w:themeFill="background1"/>
          </w:tcPr>
          <w:p w14:paraId="31BF8D9D" w14:textId="77777777" w:rsidR="00022423" w:rsidRPr="00022423" w:rsidRDefault="00022423" w:rsidP="00A10E45">
            <w:r w:rsidRPr="00022423">
              <w:t>60</w:t>
            </w:r>
          </w:p>
        </w:tc>
        <w:tc>
          <w:tcPr>
            <w:tcW w:w="10646" w:type="dxa"/>
            <w:shd w:val="clear" w:color="auto" w:fill="FFFFFF" w:themeFill="background1"/>
          </w:tcPr>
          <w:p w14:paraId="1CA89A2D" w14:textId="77777777" w:rsidR="00022423" w:rsidRPr="00022423" w:rsidRDefault="00022423" w:rsidP="005E2111">
            <w:r w:rsidRPr="00022423">
              <w:t xml:space="preserve">Bevestig dat bij de </w:t>
            </w:r>
            <w:r w:rsidR="005E2111">
              <w:t xml:space="preserve">lijfrente-uitkeringen </w:t>
            </w:r>
            <w:r w:rsidRPr="00022423">
              <w:t>de</w:t>
            </w:r>
            <w:r w:rsidRPr="005E2111">
              <w:t xml:space="preserve"> </w:t>
            </w:r>
            <w:r w:rsidR="005E2111" w:rsidRPr="005E2111">
              <w:t>opgelopen</w:t>
            </w:r>
            <w:r w:rsidRPr="00022423">
              <w:rPr>
                <w:b/>
                <w:color w:val="FF0000"/>
              </w:rPr>
              <w:t xml:space="preserve"> </w:t>
            </w:r>
            <w:r w:rsidRPr="00022423">
              <w:t>kosten</w:t>
            </w:r>
            <w:r w:rsidRPr="00022423">
              <w:rPr>
                <w:b/>
              </w:rPr>
              <w:t xml:space="preserve"> </w:t>
            </w:r>
            <w:r w:rsidRPr="00022423">
              <w:t>voor het nakomen van de verzekeringsverplichtingen zijn inbegrepen.</w:t>
            </w:r>
            <w:r w:rsidRPr="00022423">
              <w:rPr>
                <w:b/>
                <w:color w:val="FF0000"/>
              </w:rPr>
              <w:t xml:space="preserve">  </w:t>
            </w:r>
          </w:p>
        </w:tc>
        <w:tc>
          <w:tcPr>
            <w:tcW w:w="2061" w:type="dxa"/>
            <w:shd w:val="clear" w:color="auto" w:fill="FFFFFF" w:themeFill="background1"/>
          </w:tcPr>
          <w:p w14:paraId="0B2F7788" w14:textId="77777777" w:rsidR="00022423" w:rsidRPr="00022423" w:rsidRDefault="00022423" w:rsidP="00A10E45"/>
        </w:tc>
      </w:tr>
      <w:tr w:rsidR="00022423" w:rsidRPr="00022423" w14:paraId="5305EF9C" w14:textId="77777777" w:rsidTr="00022423">
        <w:tc>
          <w:tcPr>
            <w:tcW w:w="802" w:type="dxa"/>
            <w:shd w:val="clear" w:color="auto" w:fill="FFFFFF" w:themeFill="background1"/>
          </w:tcPr>
          <w:p w14:paraId="7E807DC8" w14:textId="77777777" w:rsidR="00022423" w:rsidRPr="00022423" w:rsidRDefault="00022423" w:rsidP="00A10E45">
            <w:r w:rsidRPr="00022423">
              <w:t>61</w:t>
            </w:r>
          </w:p>
        </w:tc>
        <w:tc>
          <w:tcPr>
            <w:tcW w:w="10646" w:type="dxa"/>
            <w:shd w:val="clear" w:color="auto" w:fill="FFFFFF" w:themeFill="background1"/>
          </w:tcPr>
          <w:p w14:paraId="22666C0D" w14:textId="77777777" w:rsidR="00022423" w:rsidRPr="00022423" w:rsidRDefault="00022423" w:rsidP="005E2111">
            <w:r w:rsidRPr="00022423">
              <w:t xml:space="preserve">Toon met een grafiek en relevante kengetallen aan dat het jaarlijkse aantal </w:t>
            </w:r>
            <w:r w:rsidR="005E2111">
              <w:t>lijfrenten</w:t>
            </w:r>
            <w:r w:rsidRPr="00022423">
              <w:t xml:space="preserve"> toeneemt volgens een negatief binomiale verdeling, ook in de staart van de verdeling.</w:t>
            </w:r>
          </w:p>
        </w:tc>
        <w:tc>
          <w:tcPr>
            <w:tcW w:w="2061" w:type="dxa"/>
            <w:shd w:val="clear" w:color="auto" w:fill="FFFFFF" w:themeFill="background1"/>
          </w:tcPr>
          <w:p w14:paraId="4E4BF514" w14:textId="77777777" w:rsidR="00022423" w:rsidRPr="00022423" w:rsidRDefault="00022423" w:rsidP="00A10E45"/>
        </w:tc>
      </w:tr>
      <w:tr w:rsidR="00022423" w:rsidRPr="00022423" w14:paraId="0A0DAEA5" w14:textId="77777777" w:rsidTr="00022423">
        <w:tc>
          <w:tcPr>
            <w:tcW w:w="802" w:type="dxa"/>
            <w:shd w:val="clear" w:color="auto" w:fill="FFFFFF" w:themeFill="background1"/>
          </w:tcPr>
          <w:p w14:paraId="25C60A5E" w14:textId="77777777" w:rsidR="00022423" w:rsidRPr="00022423" w:rsidRDefault="00022423" w:rsidP="00A10E45">
            <w:r w:rsidRPr="00022423">
              <w:t>62</w:t>
            </w:r>
          </w:p>
        </w:tc>
        <w:tc>
          <w:tcPr>
            <w:tcW w:w="10646" w:type="dxa"/>
            <w:shd w:val="clear" w:color="auto" w:fill="FFFFFF" w:themeFill="background1"/>
          </w:tcPr>
          <w:p w14:paraId="398871B2" w14:textId="77777777" w:rsidR="00022423" w:rsidRPr="00022423" w:rsidRDefault="00022423" w:rsidP="005E2111">
            <w:pPr>
              <w:rPr>
                <w:i/>
              </w:rPr>
            </w:pPr>
            <w:r w:rsidRPr="00022423">
              <w:t xml:space="preserve">Toon met een grafiek en relevante kengetallen aan dat de omvang van een </w:t>
            </w:r>
            <w:r w:rsidR="005E2111">
              <w:t>lijfrente</w:t>
            </w:r>
            <w:r w:rsidRPr="00022423">
              <w:t xml:space="preserve"> toeneemt volgens een lognormale verdeling, ook in de staart van de verdeling.</w:t>
            </w:r>
          </w:p>
        </w:tc>
        <w:tc>
          <w:tcPr>
            <w:tcW w:w="2061" w:type="dxa"/>
            <w:shd w:val="clear" w:color="auto" w:fill="FFFFFF" w:themeFill="background1"/>
          </w:tcPr>
          <w:p w14:paraId="427E8052" w14:textId="77777777" w:rsidR="00022423" w:rsidRPr="00022423" w:rsidRDefault="00022423" w:rsidP="00A10E45"/>
        </w:tc>
      </w:tr>
      <w:tr w:rsidR="00022423" w:rsidRPr="00022423" w14:paraId="7D485761" w14:textId="77777777" w:rsidTr="00022423">
        <w:tc>
          <w:tcPr>
            <w:tcW w:w="802" w:type="dxa"/>
            <w:shd w:val="clear" w:color="auto" w:fill="FFFFFF" w:themeFill="background1"/>
          </w:tcPr>
          <w:p w14:paraId="49F1B626" w14:textId="77777777" w:rsidR="00022423" w:rsidRPr="00022423" w:rsidRDefault="00022423" w:rsidP="00A10E45">
            <w:r w:rsidRPr="00022423">
              <w:t>63</w:t>
            </w:r>
          </w:p>
        </w:tc>
        <w:tc>
          <w:tcPr>
            <w:tcW w:w="10646" w:type="dxa"/>
            <w:shd w:val="clear" w:color="auto" w:fill="FFFFFF" w:themeFill="background1"/>
          </w:tcPr>
          <w:p w14:paraId="58E5B136" w14:textId="77777777" w:rsidR="00022423" w:rsidRPr="00022423" w:rsidRDefault="00022423" w:rsidP="00A10E45">
            <w:r w:rsidRPr="00022423">
              <w:t>Onderbouw dat een stijging van h</w:t>
            </w:r>
            <w:r w:rsidR="005E2111">
              <w:t>et jaarlijkse aantal lijfrenten</w:t>
            </w:r>
            <w:r w:rsidRPr="00022423">
              <w:t xml:space="preserve"> en de stijging </w:t>
            </w:r>
            <w:r w:rsidR="005E2111">
              <w:t>van omvang de van de lijfrenten</w:t>
            </w:r>
            <w:r w:rsidRPr="00022423">
              <w:t xml:space="preserve"> stochastisch onderling onafhankelijk zijn.</w:t>
            </w:r>
          </w:p>
        </w:tc>
        <w:tc>
          <w:tcPr>
            <w:tcW w:w="2061" w:type="dxa"/>
            <w:shd w:val="clear" w:color="auto" w:fill="FFFFFF" w:themeFill="background1"/>
          </w:tcPr>
          <w:p w14:paraId="7ECC438C" w14:textId="77777777" w:rsidR="00022423" w:rsidRPr="00022423" w:rsidRDefault="00022423" w:rsidP="00A10E45"/>
        </w:tc>
      </w:tr>
      <w:tr w:rsidR="00022423" w:rsidRPr="00022423" w14:paraId="16DE8342" w14:textId="77777777" w:rsidTr="00022423">
        <w:tc>
          <w:tcPr>
            <w:tcW w:w="802" w:type="dxa"/>
            <w:shd w:val="clear" w:color="auto" w:fill="FFFFFF" w:themeFill="background1"/>
          </w:tcPr>
          <w:p w14:paraId="5B4D1873" w14:textId="77777777" w:rsidR="00022423" w:rsidRPr="00022423" w:rsidRDefault="00022423" w:rsidP="00A10E45">
            <w:r w:rsidRPr="00022423">
              <w:t>64</w:t>
            </w:r>
          </w:p>
        </w:tc>
        <w:tc>
          <w:tcPr>
            <w:tcW w:w="10646" w:type="dxa"/>
            <w:shd w:val="clear" w:color="auto" w:fill="FFFFFF" w:themeFill="background1"/>
          </w:tcPr>
          <w:p w14:paraId="37AFE97E" w14:textId="77777777" w:rsidR="00022423" w:rsidRPr="00022423" w:rsidRDefault="00022423" w:rsidP="00A10E45">
            <w:r w:rsidRPr="00022423">
              <w:t>Onderbouw dat er voldoende data beschikbaar zijn om het meten van de volatiliteit en de onzekerheid in de ontwikkeling van de biometrische factoren mogelijk te maken.</w:t>
            </w:r>
          </w:p>
        </w:tc>
        <w:tc>
          <w:tcPr>
            <w:tcW w:w="2061" w:type="dxa"/>
            <w:shd w:val="clear" w:color="auto" w:fill="FFFFFF" w:themeFill="background1"/>
          </w:tcPr>
          <w:p w14:paraId="729D47F5" w14:textId="77777777" w:rsidR="00022423" w:rsidRPr="00022423" w:rsidRDefault="00022423" w:rsidP="00A10E45"/>
        </w:tc>
      </w:tr>
      <w:tr w:rsidR="00022423" w:rsidRPr="00022423" w14:paraId="0B980657" w14:textId="77777777" w:rsidTr="00022423">
        <w:tc>
          <w:tcPr>
            <w:tcW w:w="802" w:type="dxa"/>
            <w:shd w:val="clear" w:color="auto" w:fill="FFFFFF" w:themeFill="background1"/>
          </w:tcPr>
          <w:p w14:paraId="715E3B30" w14:textId="77777777" w:rsidR="00022423" w:rsidRPr="00022423" w:rsidRDefault="00022423" w:rsidP="00A10E45">
            <w:r w:rsidRPr="00022423">
              <w:t>65</w:t>
            </w:r>
          </w:p>
        </w:tc>
        <w:tc>
          <w:tcPr>
            <w:tcW w:w="10646" w:type="dxa"/>
            <w:shd w:val="clear" w:color="auto" w:fill="FFFFFF" w:themeFill="background1"/>
          </w:tcPr>
          <w:p w14:paraId="471193D4" w14:textId="77777777" w:rsidR="00022423" w:rsidRPr="00022423" w:rsidRDefault="00022423" w:rsidP="0038034B">
            <w:r w:rsidRPr="00022423">
              <w:t xml:space="preserve">Onderbouw dat er voldoende data beschikbaar zijn om het meten van de impact van de juridische omgeving op potentiële aanpassingen van </w:t>
            </w:r>
            <w:r w:rsidR="0038034B">
              <w:t>lijfrenten</w:t>
            </w:r>
            <w:r w:rsidRPr="00022423">
              <w:t xml:space="preserve"> mogelijk te maken.</w:t>
            </w:r>
          </w:p>
        </w:tc>
        <w:tc>
          <w:tcPr>
            <w:tcW w:w="2061" w:type="dxa"/>
            <w:shd w:val="clear" w:color="auto" w:fill="FFFFFF" w:themeFill="background1"/>
          </w:tcPr>
          <w:p w14:paraId="0860FB5E" w14:textId="77777777" w:rsidR="00022423" w:rsidRPr="00022423" w:rsidRDefault="00022423" w:rsidP="00A10E45"/>
        </w:tc>
      </w:tr>
    </w:tbl>
    <w:p w14:paraId="6237EC21" w14:textId="77777777" w:rsidR="001C239F" w:rsidRPr="004F3D07" w:rsidRDefault="001C239F">
      <w:pPr>
        <w:spacing w:after="160"/>
      </w:pPr>
      <w:r w:rsidRPr="004F3D07">
        <w:br w:type="page"/>
      </w:r>
    </w:p>
    <w:p w14:paraId="166A947E" w14:textId="77777777" w:rsidR="008C6A02" w:rsidRPr="004F3D07" w:rsidRDefault="008C6A02" w:rsidP="008C6A02"/>
    <w:tbl>
      <w:tblPr>
        <w:tblStyle w:val="Tabelraster"/>
        <w:tblpPr w:leftFromText="141" w:rightFromText="141" w:horzAnchor="margin" w:tblpY="615"/>
        <w:tblW w:w="13509" w:type="dxa"/>
        <w:tblLook w:val="04A0" w:firstRow="1" w:lastRow="0" w:firstColumn="1" w:lastColumn="0" w:noHBand="0" w:noVBand="1"/>
      </w:tblPr>
      <w:tblGrid>
        <w:gridCol w:w="805"/>
        <w:gridCol w:w="10643"/>
        <w:gridCol w:w="2061"/>
      </w:tblGrid>
      <w:tr w:rsidR="005E2111" w14:paraId="117C7503" w14:textId="77777777" w:rsidTr="005E2111">
        <w:tc>
          <w:tcPr>
            <w:tcW w:w="11448" w:type="dxa"/>
            <w:gridSpan w:val="2"/>
            <w:shd w:val="clear" w:color="auto" w:fill="D9D9D9" w:themeFill="background1" w:themeFillShade="D9"/>
          </w:tcPr>
          <w:p w14:paraId="11CF6BD6" w14:textId="77777777" w:rsidR="005E2111" w:rsidRPr="005E2111" w:rsidRDefault="005E2111" w:rsidP="003A36EB">
            <w:pPr>
              <w:rPr>
                <w:b/>
              </w:rPr>
            </w:pPr>
            <w:r w:rsidRPr="005E2111">
              <w:rPr>
                <w:b/>
              </w:rPr>
              <w:t>Groepsspecifieke parameters</w:t>
            </w:r>
          </w:p>
        </w:tc>
        <w:tc>
          <w:tcPr>
            <w:tcW w:w="2061" w:type="dxa"/>
            <w:shd w:val="clear" w:color="auto" w:fill="D9D9D9" w:themeFill="background1" w:themeFillShade="D9"/>
          </w:tcPr>
          <w:p w14:paraId="5D689DD9" w14:textId="77777777" w:rsidR="005E2111" w:rsidRDefault="005E2111" w:rsidP="003A36EB">
            <w:r w:rsidRPr="008D1B3F">
              <w:rPr>
                <w:b/>
              </w:rPr>
              <w:t>Referentie naar document(en)</w:t>
            </w:r>
          </w:p>
        </w:tc>
      </w:tr>
      <w:tr w:rsidR="005E2111" w14:paraId="7BF3C5AB" w14:textId="77777777" w:rsidTr="005E2111">
        <w:tc>
          <w:tcPr>
            <w:tcW w:w="805" w:type="dxa"/>
            <w:shd w:val="clear" w:color="auto" w:fill="FFFFFF" w:themeFill="background1"/>
          </w:tcPr>
          <w:p w14:paraId="6EA1AC22" w14:textId="77777777" w:rsidR="005E2111" w:rsidRDefault="005E2111" w:rsidP="00A10E45">
            <w:r>
              <w:t>66</w:t>
            </w:r>
          </w:p>
        </w:tc>
        <w:tc>
          <w:tcPr>
            <w:tcW w:w="10643" w:type="dxa"/>
            <w:shd w:val="clear" w:color="auto" w:fill="FFFFFF" w:themeFill="background1"/>
          </w:tcPr>
          <w:p w14:paraId="4B558F75" w14:textId="77777777" w:rsidR="005E2111" w:rsidRDefault="005E2111" w:rsidP="003A36EB">
            <w:r>
              <w:t xml:space="preserve">Laat een vergelijking zien tussen de toepassing van </w:t>
            </w:r>
            <w:r w:rsidR="0038034B">
              <w:t xml:space="preserve">de </w:t>
            </w:r>
            <w:r>
              <w:t>herverzekeringscontracten en SPV’s op groepsniveau en soloniveau.</w:t>
            </w:r>
          </w:p>
        </w:tc>
        <w:tc>
          <w:tcPr>
            <w:tcW w:w="2061" w:type="dxa"/>
            <w:shd w:val="clear" w:color="auto" w:fill="FFFFFF" w:themeFill="background1"/>
          </w:tcPr>
          <w:p w14:paraId="2C6D6621" w14:textId="77777777" w:rsidR="005E2111" w:rsidRDefault="005E2111" w:rsidP="003A36EB"/>
        </w:tc>
      </w:tr>
      <w:tr w:rsidR="005E2111" w14:paraId="6AD18C68" w14:textId="77777777" w:rsidTr="005E2111">
        <w:tc>
          <w:tcPr>
            <w:tcW w:w="805" w:type="dxa"/>
            <w:shd w:val="clear" w:color="auto" w:fill="FFFFFF" w:themeFill="background1"/>
          </w:tcPr>
          <w:p w14:paraId="51F32E7A" w14:textId="77777777" w:rsidR="005E2111" w:rsidRDefault="005E2111" w:rsidP="00A10E45">
            <w:r>
              <w:t>67</w:t>
            </w:r>
          </w:p>
        </w:tc>
        <w:tc>
          <w:tcPr>
            <w:tcW w:w="10643" w:type="dxa"/>
            <w:shd w:val="clear" w:color="auto" w:fill="FFFFFF" w:themeFill="background1"/>
          </w:tcPr>
          <w:p w14:paraId="794AD3CF" w14:textId="77777777" w:rsidR="005E2111" w:rsidRDefault="005E2111" w:rsidP="00CA31AD">
            <w:r>
              <w:t xml:space="preserve">Licht toe of de aard van de verzekeringstechnische risico’s en het risicoprofiel op groepsniveau vergelijkbaar zijn met de verzekeringstechnische risico’s en risicoprofiel op soloniveau. </w:t>
            </w:r>
          </w:p>
        </w:tc>
        <w:tc>
          <w:tcPr>
            <w:tcW w:w="2061" w:type="dxa"/>
            <w:shd w:val="clear" w:color="auto" w:fill="FFFFFF" w:themeFill="background1"/>
          </w:tcPr>
          <w:p w14:paraId="46ACB611" w14:textId="77777777" w:rsidR="005E2111" w:rsidRDefault="005E2111" w:rsidP="00CA31AD"/>
        </w:tc>
      </w:tr>
      <w:tr w:rsidR="005E2111" w14:paraId="46E9BF12" w14:textId="77777777" w:rsidTr="005E2111">
        <w:tc>
          <w:tcPr>
            <w:tcW w:w="805" w:type="dxa"/>
            <w:shd w:val="clear" w:color="auto" w:fill="FFFFFF" w:themeFill="background1"/>
          </w:tcPr>
          <w:p w14:paraId="040450A5" w14:textId="77777777" w:rsidR="005E2111" w:rsidRDefault="005E2111" w:rsidP="00A10E45">
            <w:r>
              <w:t>68</w:t>
            </w:r>
          </w:p>
        </w:tc>
        <w:tc>
          <w:tcPr>
            <w:tcW w:w="10643" w:type="dxa"/>
            <w:shd w:val="clear" w:color="auto" w:fill="FFFFFF" w:themeFill="background1"/>
          </w:tcPr>
          <w:p w14:paraId="34967BEB" w14:textId="77777777" w:rsidR="005E2111" w:rsidRDefault="005E2111" w:rsidP="004773F5">
            <w:r>
              <w:t>Onderbouw met statistische data dat de gegevens op groepsniveau en soloniveau voldoende overeenkomsten laten zien.</w:t>
            </w:r>
          </w:p>
        </w:tc>
        <w:tc>
          <w:tcPr>
            <w:tcW w:w="2061" w:type="dxa"/>
            <w:shd w:val="clear" w:color="auto" w:fill="FFFFFF" w:themeFill="background1"/>
          </w:tcPr>
          <w:p w14:paraId="0C1CC622" w14:textId="77777777" w:rsidR="005E2111" w:rsidRDefault="005E2111" w:rsidP="004773F5"/>
        </w:tc>
      </w:tr>
    </w:tbl>
    <w:p w14:paraId="105402A3" w14:textId="5FE2AB5A" w:rsidR="00DD235E" w:rsidRDefault="0038034B" w:rsidP="00933BD7">
      <w:r>
        <w:t>Tabel 11</w:t>
      </w:r>
      <w:r w:rsidR="001C239F">
        <w:t>: Groepsspecifieke parameters</w:t>
      </w:r>
    </w:p>
    <w:p w14:paraId="15D479BC" w14:textId="134ED334" w:rsidR="004F3D07" w:rsidRDefault="004F3D07" w:rsidP="00933BD7"/>
    <w:p w14:paraId="52092451" w14:textId="43C31AA2" w:rsidR="004F3D07" w:rsidRDefault="004F3D07" w:rsidP="00933BD7"/>
    <w:p w14:paraId="15C8DB47" w14:textId="1EBF5280" w:rsidR="004F3D07" w:rsidRDefault="004F3D07" w:rsidP="00933BD7">
      <w:r>
        <w:t xml:space="preserve">Bij de aanvraag voegt u ook toe: </w:t>
      </w:r>
    </w:p>
    <w:p w14:paraId="250E6EB5" w14:textId="77777777" w:rsidR="004F3D07" w:rsidRDefault="004F3D07" w:rsidP="004F3D07">
      <w:pPr>
        <w:pStyle w:val="Lijstalinea"/>
        <w:numPr>
          <w:ilvl w:val="0"/>
          <w:numId w:val="11"/>
        </w:numPr>
      </w:pPr>
      <w:r>
        <w:t>Een begeleidingsbrief met handtekeningen van de groep en alle entiteiten waarvoor de USP’s gebruikt zullen worden.</w:t>
      </w:r>
    </w:p>
    <w:p w14:paraId="35B9DD3D" w14:textId="77777777" w:rsidR="004F3D07" w:rsidRDefault="004F3D07" w:rsidP="004F3D07">
      <w:pPr>
        <w:pStyle w:val="Lijstalinea"/>
        <w:numPr>
          <w:ilvl w:val="0"/>
          <w:numId w:val="11"/>
        </w:numPr>
      </w:pPr>
      <w:r>
        <w:t>Een begeleidingsdocument waarin een samenvatting staat van de belangrijkste informatie in het aanvraagpakket.</w:t>
      </w:r>
    </w:p>
    <w:p w14:paraId="2CCCAA54" w14:textId="56D85E31" w:rsidR="004F3D07" w:rsidRDefault="004F3D07" w:rsidP="004F3D07">
      <w:pPr>
        <w:pStyle w:val="Lijstalinea"/>
        <w:numPr>
          <w:ilvl w:val="0"/>
          <w:numId w:val="11"/>
        </w:numPr>
      </w:pPr>
      <w:r>
        <w:t xml:space="preserve">De documenten waarnaar deze bijlage </w:t>
      </w:r>
      <w:r w:rsidRPr="004F3D07">
        <w:t xml:space="preserve">Ondernemingsspecifieke parameters (USP’s) </w:t>
      </w:r>
      <w:r>
        <w:t>verwijst.</w:t>
      </w:r>
    </w:p>
    <w:sectPr w:rsidR="004F3D07" w:rsidSect="00EA5E64">
      <w:pgSz w:w="16838" w:h="11906" w:orient="landscape"/>
      <w:pgMar w:top="851" w:right="212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F1CD8" w14:textId="77777777" w:rsidR="00885C6A" w:rsidRDefault="00885C6A" w:rsidP="000A2A03">
      <w:pPr>
        <w:spacing w:line="240" w:lineRule="auto"/>
      </w:pPr>
      <w:r>
        <w:separator/>
      </w:r>
    </w:p>
  </w:endnote>
  <w:endnote w:type="continuationSeparator" w:id="0">
    <w:p w14:paraId="64AC20C0" w14:textId="77777777" w:rsidR="00885C6A" w:rsidRDefault="00885C6A"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56AEF" w14:textId="77777777" w:rsidR="00885C6A" w:rsidRDefault="00885C6A" w:rsidP="000A2A03">
      <w:pPr>
        <w:spacing w:line="240" w:lineRule="auto"/>
      </w:pPr>
      <w:r>
        <w:separator/>
      </w:r>
    </w:p>
  </w:footnote>
  <w:footnote w:type="continuationSeparator" w:id="0">
    <w:p w14:paraId="164310BA" w14:textId="77777777" w:rsidR="00885C6A" w:rsidRDefault="00885C6A" w:rsidP="000A2A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688"/>
    <w:multiLevelType w:val="hybridMultilevel"/>
    <w:tmpl w:val="66CCFC10"/>
    <w:lvl w:ilvl="0" w:tplc="286C26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BB3618"/>
    <w:multiLevelType w:val="hybridMultilevel"/>
    <w:tmpl w:val="CE1A5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4B08A4"/>
    <w:multiLevelType w:val="hybridMultilevel"/>
    <w:tmpl w:val="865876A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275FA7"/>
    <w:multiLevelType w:val="hybridMultilevel"/>
    <w:tmpl w:val="66CCFC10"/>
    <w:lvl w:ilvl="0" w:tplc="286C26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56745F"/>
    <w:multiLevelType w:val="hybridMultilevel"/>
    <w:tmpl w:val="66CCFC10"/>
    <w:lvl w:ilvl="0" w:tplc="286C26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255D4E"/>
    <w:multiLevelType w:val="hybridMultilevel"/>
    <w:tmpl w:val="8CC04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B23C84"/>
    <w:multiLevelType w:val="hybridMultilevel"/>
    <w:tmpl w:val="865876A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BB8183C"/>
    <w:multiLevelType w:val="hybridMultilevel"/>
    <w:tmpl w:val="E7309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F704E3"/>
    <w:multiLevelType w:val="hybridMultilevel"/>
    <w:tmpl w:val="28D4CB10"/>
    <w:lvl w:ilvl="0" w:tplc="3E42D62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8"/>
  </w:num>
  <w:num w:numId="6">
    <w:abstractNumId w:val="3"/>
  </w:num>
  <w:num w:numId="7">
    <w:abstractNumId w:val="10"/>
  </w:num>
  <w:num w:numId="8">
    <w:abstractNumId w:val="6"/>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73"/>
    <w:rsid w:val="00022423"/>
    <w:rsid w:val="00026FFD"/>
    <w:rsid w:val="00032206"/>
    <w:rsid w:val="00060693"/>
    <w:rsid w:val="00073B4D"/>
    <w:rsid w:val="00074FA8"/>
    <w:rsid w:val="000921E8"/>
    <w:rsid w:val="000A2A03"/>
    <w:rsid w:val="000B3831"/>
    <w:rsid w:val="000C1F80"/>
    <w:rsid w:val="000D36F9"/>
    <w:rsid w:val="000E53B3"/>
    <w:rsid w:val="000E543C"/>
    <w:rsid w:val="00101B68"/>
    <w:rsid w:val="00102AE8"/>
    <w:rsid w:val="001031BA"/>
    <w:rsid w:val="0011137F"/>
    <w:rsid w:val="00112BA6"/>
    <w:rsid w:val="00133A2F"/>
    <w:rsid w:val="0015292F"/>
    <w:rsid w:val="00152971"/>
    <w:rsid w:val="001557B9"/>
    <w:rsid w:val="00165347"/>
    <w:rsid w:val="00172086"/>
    <w:rsid w:val="00172E9B"/>
    <w:rsid w:val="001962FF"/>
    <w:rsid w:val="001B6FB1"/>
    <w:rsid w:val="001C239F"/>
    <w:rsid w:val="001C7BAB"/>
    <w:rsid w:val="001D0B72"/>
    <w:rsid w:val="001D574F"/>
    <w:rsid w:val="001E2883"/>
    <w:rsid w:val="001F1C5D"/>
    <w:rsid w:val="00247BFE"/>
    <w:rsid w:val="00250BA4"/>
    <w:rsid w:val="00276CD5"/>
    <w:rsid w:val="00282BC2"/>
    <w:rsid w:val="00282E10"/>
    <w:rsid w:val="0028552B"/>
    <w:rsid w:val="00286EFF"/>
    <w:rsid w:val="00290488"/>
    <w:rsid w:val="002B4054"/>
    <w:rsid w:val="002D6445"/>
    <w:rsid w:val="003252FB"/>
    <w:rsid w:val="003405B5"/>
    <w:rsid w:val="0037169D"/>
    <w:rsid w:val="0038034B"/>
    <w:rsid w:val="003A36EB"/>
    <w:rsid w:val="003B21BA"/>
    <w:rsid w:val="003D6045"/>
    <w:rsid w:val="003E1F69"/>
    <w:rsid w:val="003F6E85"/>
    <w:rsid w:val="00407F08"/>
    <w:rsid w:val="00415F79"/>
    <w:rsid w:val="00425E9E"/>
    <w:rsid w:val="00453D32"/>
    <w:rsid w:val="00454995"/>
    <w:rsid w:val="00457329"/>
    <w:rsid w:val="004773F5"/>
    <w:rsid w:val="00490378"/>
    <w:rsid w:val="004D513F"/>
    <w:rsid w:val="004E4835"/>
    <w:rsid w:val="004F3D07"/>
    <w:rsid w:val="004F785D"/>
    <w:rsid w:val="0051444B"/>
    <w:rsid w:val="00535054"/>
    <w:rsid w:val="00553290"/>
    <w:rsid w:val="005541A3"/>
    <w:rsid w:val="00556BF1"/>
    <w:rsid w:val="005709FB"/>
    <w:rsid w:val="00572F75"/>
    <w:rsid w:val="005A215B"/>
    <w:rsid w:val="005A4644"/>
    <w:rsid w:val="005C721A"/>
    <w:rsid w:val="005E2111"/>
    <w:rsid w:val="00624786"/>
    <w:rsid w:val="00625831"/>
    <w:rsid w:val="00641760"/>
    <w:rsid w:val="006503D3"/>
    <w:rsid w:val="006809CC"/>
    <w:rsid w:val="00680F83"/>
    <w:rsid w:val="006A64F3"/>
    <w:rsid w:val="006B5A01"/>
    <w:rsid w:val="006C1347"/>
    <w:rsid w:val="006C24C2"/>
    <w:rsid w:val="00711BF6"/>
    <w:rsid w:val="007165A0"/>
    <w:rsid w:val="007513D3"/>
    <w:rsid w:val="00777F98"/>
    <w:rsid w:val="007B0E9B"/>
    <w:rsid w:val="007B659D"/>
    <w:rsid w:val="007C5373"/>
    <w:rsid w:val="00801742"/>
    <w:rsid w:val="00822AAE"/>
    <w:rsid w:val="008516FF"/>
    <w:rsid w:val="00862F35"/>
    <w:rsid w:val="00864BCB"/>
    <w:rsid w:val="00885C6A"/>
    <w:rsid w:val="008908C0"/>
    <w:rsid w:val="008C5D5E"/>
    <w:rsid w:val="008C6A02"/>
    <w:rsid w:val="008D1B3F"/>
    <w:rsid w:val="009147BF"/>
    <w:rsid w:val="00916E32"/>
    <w:rsid w:val="00933BD7"/>
    <w:rsid w:val="009341E1"/>
    <w:rsid w:val="00985580"/>
    <w:rsid w:val="0099082D"/>
    <w:rsid w:val="00994340"/>
    <w:rsid w:val="009A4753"/>
    <w:rsid w:val="009B5D9A"/>
    <w:rsid w:val="009C4EB4"/>
    <w:rsid w:val="009C52DB"/>
    <w:rsid w:val="009D1546"/>
    <w:rsid w:val="009E3D1F"/>
    <w:rsid w:val="00A049D3"/>
    <w:rsid w:val="00A10E45"/>
    <w:rsid w:val="00A14848"/>
    <w:rsid w:val="00A31A9F"/>
    <w:rsid w:val="00A349E7"/>
    <w:rsid w:val="00A43539"/>
    <w:rsid w:val="00A4607A"/>
    <w:rsid w:val="00A65E59"/>
    <w:rsid w:val="00A72B58"/>
    <w:rsid w:val="00AC772F"/>
    <w:rsid w:val="00AE150B"/>
    <w:rsid w:val="00AE2767"/>
    <w:rsid w:val="00AE2FC9"/>
    <w:rsid w:val="00AE4836"/>
    <w:rsid w:val="00B224FD"/>
    <w:rsid w:val="00B50097"/>
    <w:rsid w:val="00B621FB"/>
    <w:rsid w:val="00BC05D2"/>
    <w:rsid w:val="00C071BA"/>
    <w:rsid w:val="00C31C05"/>
    <w:rsid w:val="00C82654"/>
    <w:rsid w:val="00C928E7"/>
    <w:rsid w:val="00C93A75"/>
    <w:rsid w:val="00CA31AD"/>
    <w:rsid w:val="00CA45F8"/>
    <w:rsid w:val="00D27A58"/>
    <w:rsid w:val="00D537D8"/>
    <w:rsid w:val="00D65CE4"/>
    <w:rsid w:val="00DC2151"/>
    <w:rsid w:val="00DD235E"/>
    <w:rsid w:val="00E05E36"/>
    <w:rsid w:val="00E113AC"/>
    <w:rsid w:val="00E17011"/>
    <w:rsid w:val="00E268B5"/>
    <w:rsid w:val="00E7266F"/>
    <w:rsid w:val="00E77E0B"/>
    <w:rsid w:val="00E81517"/>
    <w:rsid w:val="00E82AC4"/>
    <w:rsid w:val="00EA2CBC"/>
    <w:rsid w:val="00EA5E64"/>
    <w:rsid w:val="00EB7930"/>
    <w:rsid w:val="00EC4E96"/>
    <w:rsid w:val="00ED1905"/>
    <w:rsid w:val="00ED7986"/>
    <w:rsid w:val="00EE238F"/>
    <w:rsid w:val="00EF7185"/>
    <w:rsid w:val="00F010A1"/>
    <w:rsid w:val="00F038DB"/>
    <w:rsid w:val="00F11B24"/>
    <w:rsid w:val="00F17945"/>
    <w:rsid w:val="00F278E5"/>
    <w:rsid w:val="00F379F1"/>
    <w:rsid w:val="00F45840"/>
    <w:rsid w:val="00F6785E"/>
    <w:rsid w:val="00F90868"/>
    <w:rsid w:val="00F90D70"/>
    <w:rsid w:val="00FA3186"/>
    <w:rsid w:val="00FB08A5"/>
    <w:rsid w:val="00FB395F"/>
    <w:rsid w:val="00FB478C"/>
    <w:rsid w:val="00FC277F"/>
    <w:rsid w:val="00FC3F9B"/>
    <w:rsid w:val="00FF29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C55204"/>
  <w15:docId w15:val="{9EC8ABB1-D0CD-4B11-BCBC-0C847394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character" w:styleId="Tekstvantijdelijkeaanduiding">
    <w:name w:val="Placeholder Text"/>
    <w:basedOn w:val="Standaardalinea-lettertype"/>
    <w:uiPriority w:val="99"/>
    <w:semiHidden/>
    <w:rsid w:val="00073B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32720C0945242B55285003E68FD9E" ma:contentTypeVersion="0" ma:contentTypeDescription="Create a new document." ma:contentTypeScope="" ma:versionID="e319dc65b595a996262fe873b65bce87">
  <xsd:schema xmlns:xsd="http://www.w3.org/2001/XMLSchema" xmlns:xs="http://www.w3.org/2001/XMLSchema" xmlns:p="http://schemas.microsoft.com/office/2006/metadata/properties" targetNamespace="http://schemas.microsoft.com/office/2006/metadata/properties" ma:root="true" ma:fieldsID="7a517fe948390ee86073c44890d31c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721A5-9C18-4141-B760-FAF338395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D188AF-BCB8-41DF-BFFF-FF8EFED9A96B}">
  <ds:schemaRefs>
    <ds:schemaRef ds:uri="http://schemas.microsoft.com/sharepoint/v3/contenttype/forms"/>
  </ds:schemaRefs>
</ds:datastoreItem>
</file>

<file path=customXml/itemProps3.xml><?xml version="1.0" encoding="utf-8"?>
<ds:datastoreItem xmlns:ds="http://schemas.openxmlformats.org/officeDocument/2006/customXml" ds:itemID="{1F4CF3CE-36B4-4410-AB52-19150DE28D25}">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D46B8615-37F1-4B98-9107-CC9C3F0D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3262</Words>
  <Characters>19530</Characters>
  <Application>Microsoft Office Word</Application>
  <DocSecurity>0</DocSecurity>
  <Lines>744</Lines>
  <Paragraphs>368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Bijlage bij aanvraag USP</vt:lpstr>
      <vt:lpstr/>
    </vt:vector>
  </TitlesOfParts>
  <Company>De Nederlandsche Bank N.V.</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bij aanvraag USP</dc:title>
  <dc:creator>Stroop, B.</dc:creator>
  <cp:lastModifiedBy>Bekker, D.C.S.</cp:lastModifiedBy>
  <cp:revision>2</cp:revision>
  <cp:lastPrinted>2015-09-03T08:37:00Z</cp:lastPrinted>
  <dcterms:created xsi:type="dcterms:W3CDTF">2021-09-09T15:27:00Z</dcterms:created>
  <dcterms:modified xsi:type="dcterms:W3CDTF">2021-09-09T15:27:00Z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0x01010077032720C0945242B55285003E68FD9E</vt:lpwstr>
  </property>
  <property fmtid="{D5CDD505-2E9C-101B-9397-08002B2CF9AE}" pid="3" name="IsMyDocuments">
    <vt:bool>true</vt:bool>
  </property>
</Properties>
</file>